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9E" w:rsidRDefault="006259A5" w:rsidP="0075759E">
      <w:pPr>
        <w:jc w:val="center"/>
        <w:rPr>
          <w:rFonts w:ascii="Arial" w:hAnsi="Arial" w:cs="Arial"/>
          <w:b/>
          <w:bCs/>
          <w:sz w:val="28"/>
          <w:szCs w:val="28"/>
          <w:u w:val="none"/>
          <w:lang w:val="en-CA"/>
        </w:rPr>
      </w:pPr>
      <w:r>
        <w:rPr>
          <w:rFonts w:ascii="Arial" w:hAnsi="Arial" w:cs="Arial"/>
          <w:b/>
          <w:bCs/>
          <w:sz w:val="28"/>
          <w:szCs w:val="28"/>
          <w:u w:val="none"/>
          <w:lang w:val="en-CA"/>
        </w:rPr>
        <w:t>PARASHAT BEHAR</w:t>
      </w:r>
      <w:r w:rsidR="008E4565">
        <w:rPr>
          <w:rFonts w:ascii="Arial" w:hAnsi="Arial" w:cs="Arial"/>
          <w:b/>
          <w:bCs/>
          <w:sz w:val="28"/>
          <w:szCs w:val="28"/>
          <w:u w:val="none"/>
          <w:lang w:val="en-CA"/>
        </w:rPr>
        <w:t xml:space="preserve"> </w:t>
      </w:r>
    </w:p>
    <w:p w:rsidR="006259A5" w:rsidRDefault="006259A5" w:rsidP="0075759E">
      <w:pPr>
        <w:jc w:val="center"/>
        <w:rPr>
          <w:rFonts w:ascii="Arial" w:hAnsi="Arial" w:cs="Arial"/>
          <w:sz w:val="24"/>
          <w:szCs w:val="24"/>
          <w:u w:val="none"/>
          <w:lang w:val="en-CA"/>
        </w:rPr>
      </w:pPr>
      <w:r>
        <w:rPr>
          <w:rFonts w:ascii="Arial" w:hAnsi="Arial" w:cs="Arial"/>
          <w:sz w:val="24"/>
          <w:szCs w:val="24"/>
          <w:u w:val="none"/>
          <w:lang w:val="en-CA"/>
        </w:rPr>
        <w:t>First Year of Triennial Cycle</w:t>
      </w:r>
    </w:p>
    <w:p w:rsidR="006259A5" w:rsidRDefault="006259A5" w:rsidP="008376DD">
      <w:pPr>
        <w:jc w:val="center"/>
        <w:rPr>
          <w:rFonts w:ascii="Arial" w:hAnsi="Arial" w:cs="Arial"/>
          <w:sz w:val="24"/>
          <w:szCs w:val="24"/>
          <w:u w:val="none"/>
          <w:lang w:val="en-CA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u w:val="none"/>
          <w:lang w:val="en-CA"/>
        </w:rPr>
        <w:t>Va-Yikra</w:t>
      </w:r>
      <w:proofErr w:type="spellEnd"/>
      <w:r w:rsidR="008E4565">
        <w:rPr>
          <w:rFonts w:ascii="Arial" w:hAnsi="Arial" w:cs="Arial"/>
          <w:sz w:val="24"/>
          <w:szCs w:val="24"/>
          <w:u w:val="none"/>
          <w:lang w:val="en-CA"/>
        </w:rPr>
        <w:t xml:space="preserve"> 25.1 – 38 (4</w:t>
      </w:r>
      <w:r w:rsidR="008376DD">
        <w:rPr>
          <w:rFonts w:ascii="Arial" w:hAnsi="Arial" w:cs="Arial"/>
          <w:sz w:val="24"/>
          <w:szCs w:val="24"/>
          <w:u w:val="none"/>
          <w:lang w:val="en-CA"/>
        </w:rPr>
        <w:t>2</w:t>
      </w:r>
      <w:r>
        <w:rPr>
          <w:rFonts w:ascii="Arial" w:hAnsi="Arial" w:cs="Arial"/>
          <w:sz w:val="24"/>
          <w:szCs w:val="24"/>
          <w:u w:val="none"/>
          <w:lang w:val="en-CA"/>
        </w:rPr>
        <w:t>)</w:t>
      </w:r>
    </w:p>
    <w:p w:rsidR="006259A5" w:rsidRDefault="006259A5" w:rsidP="00215B27">
      <w:pPr>
        <w:jc w:val="center"/>
        <w:rPr>
          <w:rFonts w:ascii="Arial" w:hAnsi="Arial" w:cs="Arial"/>
          <w:sz w:val="24"/>
          <w:szCs w:val="24"/>
          <w:u w:val="none"/>
          <w:lang w:val="en-CA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u w:val="none"/>
          <w:lang w:val="en-CA"/>
        </w:rPr>
        <w:t>Eitz</w:t>
      </w:r>
      <w:proofErr w:type="spellEnd"/>
      <w:r>
        <w:rPr>
          <w:rFonts w:ascii="Arial" w:hAnsi="Arial" w:cs="Arial"/>
          <w:i/>
          <w:iCs/>
          <w:sz w:val="24"/>
          <w:szCs w:val="24"/>
          <w:u w:val="none"/>
          <w:lang w:val="en-CA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u w:val="none"/>
          <w:lang w:val="en-CA"/>
        </w:rPr>
        <w:t>Hayim</w:t>
      </w:r>
      <w:proofErr w:type="spellEnd"/>
      <w:r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215B27">
        <w:rPr>
          <w:rFonts w:ascii="Arial" w:hAnsi="Arial" w:cs="Arial"/>
          <w:sz w:val="24"/>
          <w:szCs w:val="24"/>
          <w:u w:val="none"/>
          <w:lang w:val="en-CA"/>
        </w:rPr>
        <w:t>738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; Hertz </w:t>
      </w:r>
      <w:r w:rsidR="009319F7">
        <w:rPr>
          <w:rFonts w:ascii="Arial" w:hAnsi="Arial" w:cs="Arial"/>
          <w:sz w:val="24"/>
          <w:szCs w:val="24"/>
          <w:u w:val="none"/>
          <w:lang w:val="en-CA"/>
        </w:rPr>
        <w:t>****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; </w:t>
      </w:r>
      <w:proofErr w:type="spellStart"/>
      <w:proofErr w:type="gramStart"/>
      <w:r>
        <w:rPr>
          <w:rFonts w:ascii="Arial" w:hAnsi="Arial" w:cs="Arial"/>
          <w:sz w:val="24"/>
          <w:szCs w:val="24"/>
          <w:u w:val="none"/>
          <w:lang w:val="en-CA"/>
        </w:rPr>
        <w:t>Plaut</w:t>
      </w:r>
      <w:proofErr w:type="spellEnd"/>
      <w:r>
        <w:rPr>
          <w:rFonts w:ascii="Arial" w:hAnsi="Arial" w:cs="Arial"/>
          <w:sz w:val="24"/>
          <w:szCs w:val="24"/>
          <w:u w:val="none"/>
          <w:lang w:val="en-CA"/>
        </w:rPr>
        <w:t xml:space="preserve">  946</w:t>
      </w:r>
      <w:proofErr w:type="gramEnd"/>
    </w:p>
    <w:p w:rsidR="006A0371" w:rsidRDefault="006A0371">
      <w:pPr>
        <w:rPr>
          <w:lang w:val="en-CA"/>
        </w:rPr>
      </w:pPr>
    </w:p>
    <w:p w:rsidR="00215B27" w:rsidRDefault="00215B27" w:rsidP="00FE0294">
      <w:pPr>
        <w:rPr>
          <w:rFonts w:ascii="Arial" w:hAnsi="Arial" w:cs="Arial"/>
          <w:sz w:val="24"/>
          <w:szCs w:val="24"/>
          <w:u w:val="none"/>
          <w:lang w:val="en-CA"/>
        </w:rPr>
      </w:pPr>
      <w:r>
        <w:rPr>
          <w:rFonts w:ascii="Arial" w:hAnsi="Arial" w:cs="Arial"/>
          <w:sz w:val="24"/>
          <w:szCs w:val="24"/>
          <w:u w:val="none"/>
          <w:lang w:val="en-CA"/>
        </w:rPr>
        <w:t>This</w:t>
      </w:r>
      <w:r w:rsidR="00AD67B9">
        <w:rPr>
          <w:rFonts w:ascii="Arial" w:hAnsi="Arial" w:cs="Arial"/>
          <w:sz w:val="24"/>
          <w:szCs w:val="24"/>
          <w:u w:val="none"/>
          <w:lang w:val="en-CA"/>
        </w:rPr>
        <w:t xml:space="preserve"> year </w:t>
      </w:r>
      <w:r w:rsidR="0075759E">
        <w:rPr>
          <w:rFonts w:ascii="Arial" w:hAnsi="Arial" w:cs="Arial"/>
          <w:sz w:val="24"/>
          <w:szCs w:val="24"/>
          <w:u w:val="none"/>
          <w:lang w:val="en-CA"/>
        </w:rPr>
        <w:t xml:space="preserve">as </w:t>
      </w:r>
      <w:r w:rsidR="00AD67B9">
        <w:rPr>
          <w:rFonts w:ascii="Arial" w:hAnsi="Arial" w:cs="Arial"/>
          <w:sz w:val="24"/>
          <w:szCs w:val="24"/>
          <w:u w:val="none"/>
          <w:lang w:val="en-CA"/>
        </w:rPr>
        <w:t xml:space="preserve">we near 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the end of the </w:t>
      </w:r>
      <w:r w:rsidRPr="00CE2800">
        <w:rPr>
          <w:rFonts w:ascii="Arial" w:hAnsi="Arial" w:cs="Arial"/>
          <w:sz w:val="24"/>
          <w:szCs w:val="24"/>
          <w:u w:val="none"/>
          <w:lang w:val="en-CA"/>
        </w:rPr>
        <w:t>Book of</w:t>
      </w:r>
      <w:r>
        <w:rPr>
          <w:rFonts w:ascii="Arial" w:hAnsi="Arial" w:cs="Arial"/>
          <w:i/>
          <w:iCs/>
          <w:sz w:val="24"/>
          <w:szCs w:val="24"/>
          <w:u w:val="none"/>
          <w:lang w:val="en-CA"/>
        </w:rPr>
        <w:t xml:space="preserve"> </w:t>
      </w:r>
      <w:proofErr w:type="spellStart"/>
      <w:r w:rsidRPr="00CE2800">
        <w:rPr>
          <w:rFonts w:ascii="Arial" w:hAnsi="Arial" w:cs="Arial"/>
          <w:i/>
          <w:iCs/>
          <w:sz w:val="24"/>
          <w:szCs w:val="24"/>
          <w:u w:val="none"/>
          <w:lang w:val="en-CA"/>
        </w:rPr>
        <w:t>Va-Yikra</w:t>
      </w:r>
      <w:proofErr w:type="spellEnd"/>
      <w:r>
        <w:rPr>
          <w:rFonts w:ascii="Arial" w:hAnsi="Arial" w:cs="Arial"/>
          <w:sz w:val="24"/>
          <w:szCs w:val="24"/>
          <w:u w:val="none"/>
          <w:lang w:val="en-CA"/>
        </w:rPr>
        <w:t xml:space="preserve"> (</w:t>
      </w:r>
      <w:r w:rsidRPr="00215B27">
        <w:rPr>
          <w:rFonts w:ascii="Arial" w:hAnsi="Arial" w:cs="Arial"/>
          <w:sz w:val="24"/>
          <w:szCs w:val="24"/>
          <w:u w:val="none"/>
          <w:lang w:val="en-CA"/>
        </w:rPr>
        <w:t>Leviticus</w:t>
      </w:r>
      <w:r>
        <w:rPr>
          <w:rFonts w:ascii="Arial" w:hAnsi="Arial" w:cs="Arial"/>
          <w:sz w:val="24"/>
          <w:szCs w:val="24"/>
          <w:u w:val="none"/>
          <w:lang w:val="en-CA"/>
        </w:rPr>
        <w:t>)</w:t>
      </w:r>
      <w:r w:rsidR="00AD67B9">
        <w:rPr>
          <w:rFonts w:ascii="Arial" w:hAnsi="Arial" w:cs="Arial"/>
          <w:sz w:val="24"/>
          <w:szCs w:val="24"/>
          <w:u w:val="none"/>
          <w:lang w:val="en-CA"/>
        </w:rPr>
        <w:t xml:space="preserve">, 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but in the triennial cycle we </w:t>
      </w:r>
      <w:r w:rsidR="00BC5E8B">
        <w:rPr>
          <w:rFonts w:ascii="Arial" w:hAnsi="Arial" w:cs="Arial"/>
          <w:sz w:val="24"/>
          <w:szCs w:val="24"/>
          <w:u w:val="none"/>
          <w:lang w:val="en-CA"/>
        </w:rPr>
        <w:t xml:space="preserve">stay entirely in </w:t>
      </w:r>
      <w:proofErr w:type="spellStart"/>
      <w:r w:rsidR="00BC5E8B">
        <w:rPr>
          <w:rFonts w:ascii="Arial" w:hAnsi="Arial" w:cs="Arial"/>
          <w:sz w:val="24"/>
          <w:szCs w:val="24"/>
          <w:u w:val="none"/>
          <w:lang w:val="en-CA"/>
        </w:rPr>
        <w:t>Parashat</w:t>
      </w:r>
      <w:proofErr w:type="spellEnd"/>
      <w:r w:rsidR="00BC5E8B">
        <w:rPr>
          <w:rFonts w:ascii="Arial" w:hAnsi="Arial" w:cs="Arial"/>
          <w:sz w:val="24"/>
          <w:szCs w:val="24"/>
          <w:u w:val="none"/>
          <w:lang w:val="en-CA"/>
        </w:rPr>
        <w:t xml:space="preserve"> Behar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>.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  Formally, we go from </w:t>
      </w:r>
      <w:r w:rsidR="00BD11AA">
        <w:rPr>
          <w:rFonts w:ascii="Arial" w:hAnsi="Arial" w:cs="Arial"/>
          <w:sz w:val="24"/>
          <w:szCs w:val="24"/>
          <w:u w:val="none"/>
          <w:lang w:val="en-CA"/>
        </w:rPr>
        <w:t>verses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 1 through 38 in </w:t>
      </w:r>
      <w:r w:rsidR="00BD11AA">
        <w:rPr>
          <w:rFonts w:ascii="Arial" w:hAnsi="Arial" w:cs="Arial"/>
          <w:sz w:val="24"/>
          <w:szCs w:val="24"/>
          <w:u w:val="none"/>
          <w:lang w:val="en-CA"/>
        </w:rPr>
        <w:t>Chapter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 25.  However, because I want to talk about the Jubilee Year, I will </w:t>
      </w:r>
      <w:r w:rsidR="00BD11AA">
        <w:rPr>
          <w:rFonts w:ascii="Arial" w:hAnsi="Arial" w:cs="Arial"/>
          <w:sz w:val="24"/>
          <w:szCs w:val="24"/>
          <w:u w:val="none"/>
          <w:lang w:val="en-CA"/>
        </w:rPr>
        <w:t xml:space="preserve">start with verse 8 and 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extend </w:t>
      </w:r>
      <w:r w:rsidR="00BD11AA">
        <w:rPr>
          <w:rFonts w:ascii="Arial" w:hAnsi="Arial" w:cs="Arial"/>
          <w:sz w:val="24"/>
          <w:szCs w:val="24"/>
          <w:u w:val="none"/>
          <w:lang w:val="en-CA"/>
        </w:rPr>
        <w:t xml:space="preserve">my comments 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>through verse 42.</w:t>
      </w:r>
      <w:r w:rsidR="00BD11AA" w:rsidRPr="00BD11AA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BD11AA">
        <w:rPr>
          <w:rFonts w:ascii="Arial" w:hAnsi="Arial" w:cs="Arial"/>
          <w:sz w:val="24"/>
          <w:szCs w:val="24"/>
          <w:u w:val="none"/>
          <w:lang w:val="en-CA"/>
        </w:rPr>
        <w:t xml:space="preserve"> Th</w:t>
      </w:r>
      <w:r w:rsidR="00431AAA">
        <w:rPr>
          <w:rFonts w:ascii="Arial" w:hAnsi="Arial" w:cs="Arial"/>
          <w:sz w:val="24"/>
          <w:szCs w:val="24"/>
          <w:u w:val="none"/>
          <w:lang w:val="en-CA"/>
        </w:rPr>
        <w:t>e first seven ver</w:t>
      </w:r>
      <w:r w:rsidR="00250AF0">
        <w:rPr>
          <w:rFonts w:ascii="Arial" w:hAnsi="Arial" w:cs="Arial"/>
          <w:sz w:val="24"/>
          <w:szCs w:val="24"/>
          <w:u w:val="none"/>
          <w:lang w:val="en-CA"/>
        </w:rPr>
        <w:t xml:space="preserve">ses deal with the Sabbatical </w:t>
      </w:r>
      <w:r w:rsidR="00431AAA">
        <w:rPr>
          <w:rFonts w:ascii="Arial" w:hAnsi="Arial" w:cs="Arial"/>
          <w:sz w:val="24"/>
          <w:szCs w:val="24"/>
          <w:u w:val="none"/>
          <w:lang w:val="en-CA"/>
        </w:rPr>
        <w:t xml:space="preserve">year </w:t>
      </w:r>
      <w:r w:rsidR="008249EF">
        <w:rPr>
          <w:rFonts w:ascii="Arial" w:hAnsi="Arial" w:cs="Arial"/>
          <w:sz w:val="24"/>
          <w:szCs w:val="24"/>
          <w:u w:val="none"/>
          <w:lang w:val="en-CA"/>
        </w:rPr>
        <w:t xml:space="preserve">that </w:t>
      </w:r>
      <w:r w:rsidR="00250AF0">
        <w:rPr>
          <w:rFonts w:ascii="Arial" w:hAnsi="Arial" w:cs="Arial"/>
          <w:sz w:val="24"/>
          <w:szCs w:val="24"/>
          <w:u w:val="none"/>
          <w:lang w:val="en-CA"/>
        </w:rPr>
        <w:t xml:space="preserve">Jews are commanded to observe </w:t>
      </w:r>
      <w:r w:rsidR="00431AAA">
        <w:rPr>
          <w:rFonts w:ascii="Arial" w:hAnsi="Arial" w:cs="Arial"/>
          <w:sz w:val="24"/>
          <w:szCs w:val="24"/>
          <w:u w:val="none"/>
          <w:lang w:val="en-CA"/>
        </w:rPr>
        <w:t xml:space="preserve">every seventh year, </w:t>
      </w:r>
      <w:r w:rsidR="00250AF0">
        <w:rPr>
          <w:rFonts w:ascii="Arial" w:hAnsi="Arial" w:cs="Arial"/>
          <w:sz w:val="24"/>
          <w:szCs w:val="24"/>
          <w:u w:val="none"/>
          <w:lang w:val="en-CA"/>
        </w:rPr>
        <w:t xml:space="preserve">a commandment that sources </w:t>
      </w:r>
      <w:r w:rsidR="00CB081D">
        <w:rPr>
          <w:rFonts w:ascii="Arial" w:hAnsi="Arial" w:cs="Arial"/>
          <w:sz w:val="24"/>
          <w:szCs w:val="24"/>
          <w:u w:val="none"/>
          <w:lang w:val="en-CA"/>
        </w:rPr>
        <w:t xml:space="preserve">tell us </w:t>
      </w:r>
      <w:r w:rsidR="00250AF0">
        <w:rPr>
          <w:rFonts w:ascii="Arial" w:hAnsi="Arial" w:cs="Arial"/>
          <w:sz w:val="24"/>
          <w:szCs w:val="24"/>
          <w:u w:val="none"/>
          <w:lang w:val="en-CA"/>
        </w:rPr>
        <w:t xml:space="preserve">was observed by 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 xml:space="preserve">many </w:t>
      </w:r>
      <w:r w:rsidR="00250AF0">
        <w:rPr>
          <w:rFonts w:ascii="Arial" w:hAnsi="Arial" w:cs="Arial"/>
          <w:sz w:val="24"/>
          <w:szCs w:val="24"/>
          <w:u w:val="none"/>
          <w:lang w:val="en-CA"/>
        </w:rPr>
        <w:t>Jews of that time.  Indeed, Josephus noted “that Julius Caesar exempted Palestinian Jews from certain taxes in sabbatical years.</w:t>
      </w:r>
      <w:r w:rsidR="003D0462">
        <w:rPr>
          <w:rFonts w:ascii="Arial" w:hAnsi="Arial" w:cs="Arial"/>
          <w:sz w:val="24"/>
          <w:szCs w:val="24"/>
          <w:u w:val="none"/>
          <w:lang w:val="en-CA"/>
        </w:rPr>
        <w:t>”</w:t>
      </w:r>
      <w:r w:rsidR="003D0462">
        <w:rPr>
          <w:rStyle w:val="FootnoteReference"/>
          <w:rFonts w:ascii="Arial" w:hAnsi="Arial" w:cs="Arial"/>
          <w:sz w:val="24"/>
          <w:szCs w:val="24"/>
          <w:u w:val="none"/>
          <w:lang w:val="en-CA"/>
        </w:rPr>
        <w:footnoteReference w:id="1"/>
      </w:r>
      <w:r w:rsidR="006B578F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2242DC">
        <w:rPr>
          <w:rFonts w:ascii="Arial" w:hAnsi="Arial" w:cs="Arial"/>
          <w:sz w:val="24"/>
          <w:szCs w:val="24"/>
          <w:u w:val="none"/>
          <w:lang w:val="en-CA"/>
        </w:rPr>
        <w:t>T</w:t>
      </w:r>
      <w:r w:rsidR="00431AAA">
        <w:rPr>
          <w:rFonts w:ascii="Arial" w:hAnsi="Arial" w:cs="Arial"/>
          <w:sz w:val="24"/>
          <w:szCs w:val="24"/>
          <w:u w:val="none"/>
          <w:lang w:val="en-CA"/>
        </w:rPr>
        <w:t xml:space="preserve">he additional verses after 38 </w:t>
      </w:r>
      <w:r w:rsidR="00BD11AA">
        <w:rPr>
          <w:rFonts w:ascii="Arial" w:hAnsi="Arial" w:cs="Arial"/>
          <w:sz w:val="24"/>
          <w:szCs w:val="24"/>
          <w:u w:val="none"/>
          <w:lang w:val="en-CA"/>
        </w:rPr>
        <w:t xml:space="preserve">are </w:t>
      </w:r>
      <w:r w:rsidR="00FE0294">
        <w:rPr>
          <w:rFonts w:ascii="Arial" w:hAnsi="Arial" w:cs="Arial"/>
          <w:sz w:val="24"/>
          <w:szCs w:val="24"/>
          <w:u w:val="none"/>
          <w:lang w:val="en-CA"/>
        </w:rPr>
        <w:t xml:space="preserve">needed </w:t>
      </w:r>
      <w:r w:rsidR="002242DC">
        <w:rPr>
          <w:rFonts w:ascii="Arial" w:hAnsi="Arial" w:cs="Arial"/>
          <w:sz w:val="24"/>
          <w:szCs w:val="24"/>
          <w:u w:val="none"/>
          <w:lang w:val="en-CA"/>
        </w:rPr>
        <w:t xml:space="preserve">because </w:t>
      </w:r>
      <w:r w:rsidR="00CB081D">
        <w:rPr>
          <w:rFonts w:ascii="Arial" w:hAnsi="Arial" w:cs="Arial"/>
          <w:sz w:val="24"/>
          <w:szCs w:val="24"/>
          <w:u w:val="none"/>
          <w:lang w:val="en-CA"/>
        </w:rPr>
        <w:t>th</w:t>
      </w:r>
      <w:r w:rsidR="00E96EDE">
        <w:rPr>
          <w:rFonts w:ascii="Arial" w:hAnsi="Arial" w:cs="Arial"/>
          <w:sz w:val="24"/>
          <w:szCs w:val="24"/>
          <w:u w:val="none"/>
          <w:lang w:val="en-CA"/>
        </w:rPr>
        <w:t>ey</w:t>
      </w:r>
      <w:r w:rsidR="00CB081D">
        <w:rPr>
          <w:rFonts w:ascii="Arial" w:hAnsi="Arial" w:cs="Arial"/>
          <w:sz w:val="24"/>
          <w:szCs w:val="24"/>
          <w:u w:val="none"/>
          <w:lang w:val="en-CA"/>
        </w:rPr>
        <w:t xml:space="preserve"> are 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 xml:space="preserve">the first </w:t>
      </w:r>
      <w:r w:rsidR="00CB081D">
        <w:rPr>
          <w:rFonts w:ascii="Arial" w:hAnsi="Arial" w:cs="Arial"/>
          <w:sz w:val="24"/>
          <w:szCs w:val="24"/>
          <w:u w:val="none"/>
          <w:lang w:val="en-CA"/>
        </w:rPr>
        <w:t xml:space="preserve">to </w:t>
      </w:r>
      <w:r w:rsidR="002242DC">
        <w:rPr>
          <w:rFonts w:ascii="Arial" w:hAnsi="Arial" w:cs="Arial"/>
          <w:sz w:val="24"/>
          <w:szCs w:val="24"/>
          <w:u w:val="none"/>
          <w:lang w:val="en-CA"/>
        </w:rPr>
        <w:t>say clearly that Hebrew slaves were freed in the Jubilee Year</w:t>
      </w:r>
      <w:r w:rsidR="006B578F">
        <w:rPr>
          <w:rFonts w:ascii="Arial" w:hAnsi="Arial" w:cs="Arial"/>
          <w:sz w:val="24"/>
          <w:szCs w:val="24"/>
          <w:u w:val="none"/>
          <w:lang w:val="en-CA"/>
        </w:rPr>
        <w:t>.</w:t>
      </w:r>
    </w:p>
    <w:p w:rsidR="00431AAA" w:rsidRDefault="00431AAA" w:rsidP="00431AAA">
      <w:pPr>
        <w:rPr>
          <w:rFonts w:ascii="Arial" w:hAnsi="Arial" w:cs="Arial"/>
          <w:sz w:val="24"/>
          <w:szCs w:val="24"/>
          <w:u w:val="none"/>
          <w:lang w:val="en-CA"/>
        </w:rPr>
      </w:pPr>
    </w:p>
    <w:p w:rsidR="00C2131F" w:rsidRDefault="00431AAA" w:rsidP="00174DF9">
      <w:pPr>
        <w:rPr>
          <w:rFonts w:ascii="Arial" w:hAnsi="Arial" w:cs="Arial"/>
          <w:sz w:val="24"/>
          <w:szCs w:val="24"/>
          <w:u w:val="none"/>
          <w:lang w:val="en-CA"/>
        </w:rPr>
      </w:pPr>
      <w:r>
        <w:rPr>
          <w:rFonts w:ascii="Arial" w:hAnsi="Arial" w:cs="Arial"/>
          <w:sz w:val="24"/>
          <w:szCs w:val="24"/>
          <w:u w:val="none"/>
          <w:lang w:val="en-CA"/>
        </w:rPr>
        <w:t xml:space="preserve">The Jubilee Year occurs once every 50 years, or more colourfully </w:t>
      </w:r>
      <w:r w:rsidR="00174DF9">
        <w:rPr>
          <w:rFonts w:ascii="Arial" w:hAnsi="Arial" w:cs="Arial"/>
          <w:sz w:val="24"/>
          <w:szCs w:val="24"/>
          <w:u w:val="none"/>
          <w:lang w:val="en-CA"/>
        </w:rPr>
        <w:t>occur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s just after the seventh of seven Sabbatical </w:t>
      </w:r>
      <w:r w:rsidR="008249EF">
        <w:rPr>
          <w:rFonts w:ascii="Arial" w:hAnsi="Arial" w:cs="Arial"/>
          <w:sz w:val="24"/>
          <w:szCs w:val="24"/>
          <w:u w:val="none"/>
          <w:lang w:val="en-CA"/>
        </w:rPr>
        <w:t xml:space="preserve">(aka </w:t>
      </w:r>
      <w:proofErr w:type="spellStart"/>
      <w:r w:rsidR="008249EF" w:rsidRPr="00431AAA">
        <w:rPr>
          <w:rFonts w:ascii="Arial" w:hAnsi="Arial" w:cs="Arial"/>
          <w:i/>
          <w:iCs/>
          <w:sz w:val="24"/>
          <w:szCs w:val="24"/>
          <w:u w:val="none"/>
          <w:lang w:val="en-CA"/>
        </w:rPr>
        <w:t>Shemitah</w:t>
      </w:r>
      <w:proofErr w:type="spellEnd"/>
      <w:r w:rsidR="008249EF">
        <w:rPr>
          <w:rFonts w:ascii="Arial" w:hAnsi="Arial" w:cs="Arial"/>
          <w:sz w:val="24"/>
          <w:szCs w:val="24"/>
          <w:u w:val="none"/>
          <w:lang w:val="en-CA"/>
        </w:rPr>
        <w:t xml:space="preserve">) </w:t>
      </w:r>
      <w:r>
        <w:rPr>
          <w:rFonts w:ascii="Arial" w:hAnsi="Arial" w:cs="Arial"/>
          <w:sz w:val="24"/>
          <w:szCs w:val="24"/>
          <w:u w:val="none"/>
          <w:lang w:val="en-CA"/>
        </w:rPr>
        <w:t>Years</w:t>
      </w:r>
      <w:r w:rsidR="00E26301">
        <w:rPr>
          <w:rFonts w:ascii="Arial" w:hAnsi="Arial" w:cs="Arial"/>
          <w:sz w:val="24"/>
          <w:szCs w:val="24"/>
          <w:u w:val="none"/>
          <w:lang w:val="en-CA"/>
        </w:rPr>
        <w:t xml:space="preserve">, which is </w:t>
      </w:r>
      <w:r w:rsidR="002B6871">
        <w:rPr>
          <w:rFonts w:ascii="Arial" w:hAnsi="Arial" w:cs="Arial"/>
          <w:sz w:val="24"/>
          <w:szCs w:val="24"/>
          <w:u w:val="none"/>
          <w:lang w:val="en-CA"/>
        </w:rPr>
        <w:t>49 years</w:t>
      </w:r>
      <w:r>
        <w:rPr>
          <w:rFonts w:ascii="Arial" w:hAnsi="Arial" w:cs="Arial"/>
          <w:sz w:val="24"/>
          <w:szCs w:val="24"/>
          <w:u w:val="none"/>
          <w:lang w:val="en-CA"/>
        </w:rPr>
        <w:t xml:space="preserve">.  </w:t>
      </w:r>
      <w:r w:rsidR="000040B3">
        <w:rPr>
          <w:rFonts w:ascii="Arial" w:hAnsi="Arial" w:cs="Arial"/>
          <w:sz w:val="24"/>
          <w:szCs w:val="24"/>
          <w:u w:val="none"/>
          <w:lang w:val="en-CA"/>
        </w:rPr>
        <w:t xml:space="preserve">Three things 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 xml:space="preserve">predominate in the requirements of </w:t>
      </w:r>
      <w:r w:rsidR="000040B3">
        <w:rPr>
          <w:rFonts w:ascii="Arial" w:hAnsi="Arial" w:cs="Arial"/>
          <w:sz w:val="24"/>
          <w:szCs w:val="24"/>
          <w:u w:val="none"/>
          <w:lang w:val="en-CA"/>
        </w:rPr>
        <w:t>a Jubilee</w:t>
      </w:r>
      <w:r w:rsidR="00AF43D1">
        <w:rPr>
          <w:rFonts w:ascii="Arial" w:hAnsi="Arial" w:cs="Arial"/>
          <w:sz w:val="24"/>
          <w:szCs w:val="24"/>
          <w:u w:val="none"/>
          <w:lang w:val="en-CA"/>
        </w:rPr>
        <w:t xml:space="preserve"> Year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 xml:space="preserve">.  First and </w:t>
      </w:r>
      <w:r w:rsidR="000040B3">
        <w:rPr>
          <w:rFonts w:ascii="Arial" w:hAnsi="Arial" w:cs="Arial"/>
          <w:sz w:val="24"/>
          <w:szCs w:val="24"/>
          <w:u w:val="none"/>
          <w:lang w:val="en-CA"/>
        </w:rPr>
        <w:t xml:space="preserve">best known, all restrictions that apply to letting the land fallow in </w:t>
      </w:r>
      <w:r w:rsidR="00EA6085">
        <w:rPr>
          <w:rFonts w:ascii="Arial" w:hAnsi="Arial" w:cs="Arial"/>
          <w:sz w:val="24"/>
          <w:szCs w:val="24"/>
          <w:u w:val="none"/>
          <w:lang w:val="en-CA"/>
        </w:rPr>
        <w:t xml:space="preserve">a </w:t>
      </w:r>
      <w:r w:rsidR="000040B3">
        <w:rPr>
          <w:rFonts w:ascii="Arial" w:hAnsi="Arial" w:cs="Arial"/>
          <w:sz w:val="24"/>
          <w:szCs w:val="24"/>
          <w:u w:val="none"/>
          <w:lang w:val="en-CA"/>
        </w:rPr>
        <w:t>Sabbatical Year also apply in that 50</w:t>
      </w:r>
      <w:r w:rsidR="000040B3" w:rsidRPr="000040B3">
        <w:rPr>
          <w:rFonts w:ascii="Arial" w:hAnsi="Arial" w:cs="Arial"/>
          <w:sz w:val="24"/>
          <w:szCs w:val="24"/>
          <w:u w:val="none"/>
          <w:vertAlign w:val="superscript"/>
          <w:lang w:val="en-CA"/>
        </w:rPr>
        <w:t>th</w:t>
      </w:r>
      <w:r w:rsidR="000040B3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EA6085">
        <w:rPr>
          <w:rFonts w:ascii="Arial" w:hAnsi="Arial" w:cs="Arial"/>
          <w:sz w:val="24"/>
          <w:szCs w:val="24"/>
          <w:u w:val="none"/>
          <w:lang w:val="en-CA"/>
        </w:rPr>
        <w:t>Jubilee Y</w:t>
      </w:r>
      <w:r w:rsidR="000040B3">
        <w:rPr>
          <w:rFonts w:ascii="Arial" w:hAnsi="Arial" w:cs="Arial"/>
          <w:sz w:val="24"/>
          <w:szCs w:val="24"/>
          <w:u w:val="none"/>
          <w:lang w:val="en-CA"/>
        </w:rPr>
        <w:t>ear.  Second, most land holdings that have been sold during the preceding 49 years must be returned to their original owners.  And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>,</w:t>
      </w:r>
      <w:r w:rsidR="000040B3">
        <w:rPr>
          <w:rFonts w:ascii="Arial" w:hAnsi="Arial" w:cs="Arial"/>
          <w:sz w:val="24"/>
          <w:szCs w:val="24"/>
          <w:u w:val="none"/>
          <w:lang w:val="en-CA"/>
        </w:rPr>
        <w:t xml:space="preserve"> third, as </w:t>
      </w:r>
      <w:r w:rsidR="002242DC">
        <w:rPr>
          <w:rFonts w:ascii="Arial" w:hAnsi="Arial" w:cs="Arial"/>
          <w:sz w:val="24"/>
          <w:szCs w:val="24"/>
          <w:u w:val="none"/>
          <w:lang w:val="en-CA"/>
        </w:rPr>
        <w:t>noted just above,</w:t>
      </w:r>
      <w:r w:rsidR="000040B3">
        <w:rPr>
          <w:rFonts w:ascii="Arial" w:hAnsi="Arial" w:cs="Arial"/>
          <w:sz w:val="24"/>
          <w:szCs w:val="24"/>
          <w:u w:val="none"/>
          <w:lang w:val="en-CA"/>
        </w:rPr>
        <w:t xml:space="preserve"> Hebrew slaves must be re</w:t>
      </w:r>
      <w:r w:rsidR="001E58AE">
        <w:rPr>
          <w:rFonts w:ascii="Arial" w:hAnsi="Arial" w:cs="Arial"/>
          <w:sz w:val="24"/>
          <w:szCs w:val="24"/>
          <w:u w:val="none"/>
          <w:lang w:val="en-CA"/>
        </w:rPr>
        <w:t xml:space="preserve">leased and allowed to go free. </w:t>
      </w:r>
      <w:r w:rsidR="00753951">
        <w:rPr>
          <w:rFonts w:ascii="Arial" w:hAnsi="Arial" w:cs="Arial"/>
          <w:sz w:val="24"/>
          <w:szCs w:val="24"/>
          <w:u w:val="none"/>
          <w:lang w:val="en-CA"/>
        </w:rPr>
        <w:t xml:space="preserve">In addition, </w:t>
      </w:r>
      <w:r w:rsidR="008249EF">
        <w:rPr>
          <w:rFonts w:ascii="Arial" w:hAnsi="Arial" w:cs="Arial"/>
          <w:sz w:val="24"/>
          <w:szCs w:val="24"/>
          <w:u w:val="none"/>
          <w:lang w:val="en-CA"/>
        </w:rPr>
        <w:t xml:space="preserve">verse 25:23 </w:t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fldChar w:fldCharType="begin"/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instrText xml:space="preserve"> SEQ CHAPTER \h \r 1</w:instrText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fldChar w:fldCharType="end"/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t xml:space="preserve">contains a </w:t>
      </w:r>
      <w:r w:rsidR="008249EF">
        <w:rPr>
          <w:rFonts w:ascii="Arial" w:hAnsi="Arial" w:cs="Arial"/>
          <w:sz w:val="24"/>
          <w:szCs w:val="24"/>
          <w:u w:val="none"/>
          <w:lang w:val="en-CA"/>
        </w:rPr>
        <w:t>phrase</w:t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753951">
        <w:rPr>
          <w:rFonts w:ascii="Arial" w:hAnsi="Arial" w:cs="Arial"/>
          <w:sz w:val="24"/>
          <w:szCs w:val="24"/>
          <w:u w:val="none"/>
          <w:lang w:val="en-CA"/>
        </w:rPr>
        <w:t xml:space="preserve">that is </w:t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t>often quoted by Jewish environmentalists</w:t>
      </w:r>
      <w:r w:rsidR="00753951">
        <w:rPr>
          <w:rFonts w:ascii="Arial" w:hAnsi="Arial" w:cs="Arial"/>
          <w:sz w:val="24"/>
          <w:szCs w:val="24"/>
          <w:u w:val="none"/>
          <w:lang w:val="en-CA"/>
        </w:rPr>
        <w:t xml:space="preserve"> and that links </w:t>
      </w:r>
      <w:r w:rsidR="00174DF9">
        <w:rPr>
          <w:rFonts w:ascii="Arial" w:hAnsi="Arial" w:cs="Arial"/>
          <w:sz w:val="24"/>
          <w:szCs w:val="24"/>
          <w:u w:val="none"/>
          <w:lang w:val="en-CA"/>
        </w:rPr>
        <w:t>us</w:t>
      </w:r>
      <w:r w:rsidR="00753951">
        <w:rPr>
          <w:rFonts w:ascii="Arial" w:hAnsi="Arial" w:cs="Arial"/>
          <w:sz w:val="24"/>
          <w:szCs w:val="24"/>
          <w:u w:val="none"/>
          <w:lang w:val="en-CA"/>
        </w:rPr>
        <w:t xml:space="preserve"> to</w:t>
      </w:r>
      <w:r w:rsidR="00F32D3F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174DF9">
        <w:rPr>
          <w:rFonts w:ascii="Arial" w:hAnsi="Arial" w:cs="Arial"/>
          <w:sz w:val="24"/>
          <w:szCs w:val="24"/>
          <w:u w:val="none"/>
          <w:lang w:val="en-CA"/>
        </w:rPr>
        <w:t xml:space="preserve">the </w:t>
      </w:r>
      <w:r w:rsidR="00F32D3F">
        <w:rPr>
          <w:rFonts w:ascii="Arial" w:hAnsi="Arial" w:cs="Arial"/>
          <w:sz w:val="24"/>
          <w:szCs w:val="24"/>
          <w:u w:val="none"/>
          <w:lang w:val="en-CA"/>
        </w:rPr>
        <w:t>concept that the</w:t>
      </w:r>
      <w:r w:rsidR="00753951">
        <w:rPr>
          <w:rFonts w:ascii="Arial" w:hAnsi="Arial" w:cs="Arial"/>
          <w:sz w:val="24"/>
          <w:szCs w:val="24"/>
          <w:u w:val="none"/>
          <w:lang w:val="en-CA"/>
        </w:rPr>
        <w:t xml:space="preserve"> land </w:t>
      </w:r>
      <w:r w:rsidR="00F32D3F">
        <w:rPr>
          <w:rFonts w:ascii="Arial" w:hAnsi="Arial" w:cs="Arial"/>
          <w:sz w:val="24"/>
          <w:szCs w:val="24"/>
          <w:u w:val="none"/>
          <w:lang w:val="en-CA"/>
        </w:rPr>
        <w:t xml:space="preserve">really belongs to God: </w:t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t>"</w:t>
      </w:r>
      <w:r w:rsidR="00174DF9">
        <w:rPr>
          <w:rFonts w:ascii="Arial" w:hAnsi="Arial" w:cs="Arial"/>
          <w:sz w:val="24"/>
          <w:szCs w:val="24"/>
          <w:u w:val="none"/>
          <w:lang w:val="en-CA"/>
        </w:rPr>
        <w:t xml:space="preserve">. . . </w:t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t xml:space="preserve">for the land is Mine; you are but </w:t>
      </w:r>
      <w:proofErr w:type="gramStart"/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t>s</w:t>
      </w:r>
      <w:r w:rsidR="00753951">
        <w:rPr>
          <w:rFonts w:ascii="Arial" w:hAnsi="Arial" w:cs="Arial"/>
          <w:sz w:val="24"/>
          <w:szCs w:val="24"/>
          <w:u w:val="none"/>
          <w:lang w:val="en-CA"/>
        </w:rPr>
        <w:t>trangers</w:t>
      </w:r>
      <w:proofErr w:type="gramEnd"/>
      <w:r w:rsidR="00753951">
        <w:rPr>
          <w:rFonts w:ascii="Arial" w:hAnsi="Arial" w:cs="Arial"/>
          <w:sz w:val="24"/>
          <w:szCs w:val="24"/>
          <w:u w:val="none"/>
          <w:lang w:val="en-CA"/>
        </w:rPr>
        <w:t xml:space="preserve"> resident </w:t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t>with Me.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 xml:space="preserve"> . . . </w:t>
      </w:r>
      <w:r w:rsidR="002E38E1">
        <w:rPr>
          <w:rFonts w:ascii="Arial" w:hAnsi="Arial" w:cs="Arial"/>
          <w:sz w:val="24"/>
          <w:szCs w:val="24"/>
          <w:u w:val="none"/>
          <w:lang w:val="en-CA"/>
        </w:rPr>
        <w:t>Y</w:t>
      </w:r>
      <w:r w:rsidR="00CB4F39">
        <w:rPr>
          <w:rFonts w:ascii="Arial" w:hAnsi="Arial" w:cs="Arial"/>
          <w:sz w:val="24"/>
          <w:szCs w:val="24"/>
          <w:u w:val="none"/>
          <w:lang w:val="en-CA"/>
        </w:rPr>
        <w:t>ou shall hallow the fiftieth year, and proclaim release throughout the land for all its inhabitants</w:t>
      </w:r>
      <w:r w:rsidR="002E38E1">
        <w:rPr>
          <w:rFonts w:ascii="Arial" w:hAnsi="Arial" w:cs="Arial"/>
          <w:sz w:val="24"/>
          <w:szCs w:val="24"/>
          <w:u w:val="none"/>
          <w:lang w:val="en-CA"/>
        </w:rPr>
        <w:t>.</w:t>
      </w:r>
      <w:r w:rsidR="00CB4F39">
        <w:rPr>
          <w:sz w:val="24"/>
          <w:szCs w:val="24"/>
          <w:lang w:val="en-CA"/>
        </w:rPr>
        <w:fldChar w:fldCharType="begin"/>
      </w:r>
      <w:r w:rsidR="00CB4F39">
        <w:rPr>
          <w:sz w:val="24"/>
          <w:szCs w:val="24"/>
          <w:lang w:val="en-CA"/>
        </w:rPr>
        <w:instrText xml:space="preserve"> SEQ CHAPTER \h \r 1</w:instrText>
      </w:r>
      <w:r w:rsidR="00CB4F39">
        <w:rPr>
          <w:sz w:val="24"/>
          <w:szCs w:val="24"/>
          <w:lang w:val="en-CA"/>
        </w:rPr>
        <w:fldChar w:fldCharType="end"/>
      </w:r>
      <w:r w:rsidR="00753951" w:rsidRPr="00753951">
        <w:rPr>
          <w:rFonts w:ascii="Arial" w:hAnsi="Arial" w:cs="Arial"/>
          <w:sz w:val="24"/>
          <w:szCs w:val="24"/>
          <w:u w:val="none"/>
          <w:lang w:val="en-CA"/>
        </w:rPr>
        <w:t>"</w:t>
      </w:r>
      <w:r w:rsidR="006B578F">
        <w:rPr>
          <w:rStyle w:val="FootnoteReference"/>
          <w:rFonts w:ascii="Arial" w:hAnsi="Arial" w:cs="Arial"/>
          <w:sz w:val="24"/>
          <w:szCs w:val="24"/>
          <w:u w:val="none"/>
          <w:lang w:val="en-CA"/>
        </w:rPr>
        <w:footnoteReference w:id="2"/>
      </w:r>
      <w:proofErr w:type="gramStart"/>
      <w:r w:rsidR="00522178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proofErr w:type="gramEnd"/>
      <w:r w:rsidR="00522178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BC154B">
        <w:rPr>
          <w:rFonts w:ascii="Arial" w:hAnsi="Arial" w:cs="Arial"/>
          <w:sz w:val="24"/>
          <w:szCs w:val="24"/>
          <w:u w:val="none"/>
          <w:lang w:val="en-CA"/>
        </w:rPr>
        <w:t>Those words</w:t>
      </w:r>
      <w:r w:rsidR="00FA5809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1E58AE" w:rsidRPr="001E58AE">
        <w:rPr>
          <w:rFonts w:ascii="Arial" w:hAnsi="Arial" w:cs="Arial"/>
          <w:sz w:val="24"/>
          <w:szCs w:val="24"/>
          <w:u w:val="none"/>
          <w:lang w:val="en-CA"/>
        </w:rPr>
        <w:t xml:space="preserve">extend the notions of </w:t>
      </w:r>
      <w:r w:rsidR="001E58AE">
        <w:rPr>
          <w:rFonts w:ascii="Arial" w:hAnsi="Arial" w:cs="Arial"/>
          <w:sz w:val="24"/>
          <w:szCs w:val="24"/>
          <w:u w:val="none"/>
          <w:lang w:val="en-CA"/>
        </w:rPr>
        <w:t xml:space="preserve">Jubilee </w:t>
      </w:r>
      <w:r w:rsidR="002B6871">
        <w:rPr>
          <w:rFonts w:ascii="Arial" w:hAnsi="Arial" w:cs="Arial"/>
          <w:sz w:val="24"/>
          <w:szCs w:val="24"/>
          <w:u w:val="none"/>
          <w:lang w:val="en-CA"/>
        </w:rPr>
        <w:t xml:space="preserve">from agricultural </w:t>
      </w:r>
      <w:r w:rsidR="00522178">
        <w:rPr>
          <w:rFonts w:ascii="Arial" w:hAnsi="Arial" w:cs="Arial"/>
          <w:sz w:val="24"/>
          <w:szCs w:val="24"/>
          <w:u w:val="none"/>
          <w:lang w:val="en-CA"/>
        </w:rPr>
        <w:t>practice</w:t>
      </w:r>
      <w:r w:rsidR="002B6871">
        <w:rPr>
          <w:rFonts w:ascii="Arial" w:hAnsi="Arial" w:cs="Arial"/>
          <w:sz w:val="24"/>
          <w:szCs w:val="24"/>
          <w:u w:val="none"/>
          <w:lang w:val="en-CA"/>
        </w:rPr>
        <w:t xml:space="preserve"> </w:t>
      </w:r>
      <w:r w:rsidR="001E58AE" w:rsidRPr="001E58AE">
        <w:rPr>
          <w:rFonts w:ascii="Arial" w:hAnsi="Arial" w:cs="Arial"/>
          <w:sz w:val="24"/>
          <w:szCs w:val="24"/>
          <w:u w:val="none"/>
          <w:lang w:val="en-CA"/>
        </w:rPr>
        <w:t>into economic</w:t>
      </w:r>
      <w:r w:rsidR="001E58AE">
        <w:rPr>
          <w:rFonts w:ascii="Arial" w:hAnsi="Arial" w:cs="Arial"/>
          <w:sz w:val="24"/>
          <w:szCs w:val="24"/>
          <w:u w:val="none"/>
          <w:lang w:val="en-CA"/>
        </w:rPr>
        <w:t xml:space="preserve"> and social policies.</w:t>
      </w:r>
    </w:p>
    <w:p w:rsidR="00C2131F" w:rsidRDefault="00C2131F" w:rsidP="001E58AE">
      <w:pPr>
        <w:rPr>
          <w:rFonts w:ascii="Arial" w:hAnsi="Arial" w:cs="Arial"/>
          <w:sz w:val="24"/>
          <w:szCs w:val="24"/>
          <w:u w:val="none"/>
          <w:lang w:val="en-CA"/>
        </w:rPr>
      </w:pPr>
    </w:p>
    <w:p w:rsidR="005A79C6" w:rsidRDefault="008249EF" w:rsidP="00B408C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="Arial" w:hAnsi="Arial" w:cs="Arial"/>
          <w:sz w:val="24"/>
          <w:szCs w:val="24"/>
          <w:u w:val="none"/>
          <w:lang w:val="en-CA"/>
        </w:rPr>
        <w:t>L</w:t>
      </w:r>
      <w:r w:rsidR="00C2131F">
        <w:rPr>
          <w:rFonts w:ascii="Arial" w:hAnsi="Arial" w:cs="Arial"/>
          <w:sz w:val="24"/>
          <w:szCs w:val="24"/>
          <w:u w:val="none"/>
          <w:lang w:val="en-CA"/>
        </w:rPr>
        <w:t>et’s start with God’s co</w:t>
      </w:r>
      <w:r>
        <w:rPr>
          <w:rFonts w:ascii="Arial" w:hAnsi="Arial" w:cs="Arial"/>
          <w:sz w:val="24"/>
          <w:szCs w:val="24"/>
          <w:u w:val="none"/>
          <w:lang w:val="en-CA"/>
        </w:rPr>
        <w:t>m</w:t>
      </w:r>
      <w:r w:rsidR="00C2131F">
        <w:rPr>
          <w:rFonts w:ascii="Arial" w:hAnsi="Arial" w:cs="Arial"/>
          <w:sz w:val="24"/>
          <w:szCs w:val="24"/>
          <w:u w:val="none"/>
          <w:lang w:val="en-CA"/>
        </w:rPr>
        <w:t>mandment that land—the meaning is agricultural land--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fldChar w:fldCharType="begin"/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instrText xml:space="preserve"> SEQ CHAPTER \h \r 1</w:instrTex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fldChar w:fldCharType="end"/>
      </w:r>
      <w:r w:rsid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must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have a Sabbath once every seven years, and not just a Sabbath but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 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"</w:t>
      </w:r>
      <w:proofErr w:type="spellStart"/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Shabbath</w:t>
      </w:r>
      <w:proofErr w:type="spellEnd"/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proofErr w:type="spellStart"/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Shabbaton</w:t>
      </w:r>
      <w:proofErr w:type="spellEnd"/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" (</w:t>
      </w:r>
      <w:r w:rsid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25:4 and 5)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which is </w:t>
      </w:r>
      <w:r w:rsid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CF770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translated </w:t>
      </w:r>
      <w:r w:rsid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in </w:t>
      </w:r>
      <w:proofErr w:type="spellStart"/>
      <w:r w:rsidR="00C2131F" w:rsidRPr="00174DF9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E</w:t>
      </w:r>
      <w:r w:rsidR="00BA33FB" w:rsidRPr="00174DF9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t</w:t>
      </w:r>
      <w:r w:rsidR="00C2131F" w:rsidRPr="00174DF9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z</w:t>
      </w:r>
      <w:proofErr w:type="spellEnd"/>
      <w:r w:rsidR="00C2131F" w:rsidRPr="00174DF9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 </w:t>
      </w:r>
      <w:proofErr w:type="spellStart"/>
      <w:r w:rsidR="00BA33FB" w:rsidRPr="00174DF9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Hayim</w:t>
      </w:r>
      <w:proofErr w:type="spellEnd"/>
      <w:r w:rsidR="00BA33FB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(739) 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as </w:t>
      </w:r>
      <w:r w:rsidR="00BA33FB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 </w:t>
      </w:r>
      <w:proofErr w:type="spellStart"/>
      <w:r w:rsidR="00BA33FB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abbath</w:t>
      </w:r>
      <w:proofErr w:type="spellEnd"/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of </w:t>
      </w:r>
      <w:r w:rsidR="00BA33FB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complete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rest</w:t>
      </w:r>
      <w:r w:rsidR="00CF770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 but I prefer Hertz’ translation as a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proofErr w:type="spellStart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</w:t>
      </w:r>
      <w:r w:rsidR="00CF770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abbath</w:t>
      </w:r>
      <w:proofErr w:type="spellEnd"/>
      <w:r w:rsidR="00CF770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of </w:t>
      </w:r>
      <w:r w:rsidR="00CF770A" w:rsidRPr="00AE1531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solemn</w:t>
      </w:r>
      <w:r w:rsidR="00CF770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rest</w:t>
      </w:r>
      <w:r w:rsidR="003059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 This means that the rules 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observe</w:t>
      </w:r>
      <w:r w:rsidR="003059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d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for the weekly Sabbath have their analogs for agriculture every seventh year.  Essentially, human beings are </w:t>
      </w:r>
      <w:r w:rsidR="0004635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not to seed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B6777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or harvest 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</w:t>
      </w:r>
      <w:r w:rsidR="0004635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ir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fields, and </w:t>
      </w:r>
      <w:r w:rsidR="00AE153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they </w:t>
      </w:r>
      <w:r w:rsidR="00C2131F" w:rsidRPr="00C213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just eat what grows naturally.  </w:t>
      </w:r>
      <w:r w:rsidR="003059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Now</w:t>
      </w:r>
      <w:r w:rsidR="002242D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once every 50 years, </w:t>
      </w:r>
      <w:r w:rsidR="005A79C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 same rules apply t</w:t>
      </w:r>
      <w:r w:rsid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wo years in a row</w:t>
      </w:r>
      <w:r w:rsidR="00B408C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and the </w:t>
      </w:r>
      <w:r w:rsidR="00754CF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arrival of the Jubilee Year is proclaimed by blasts of the shofar</w:t>
      </w:r>
      <w:r w:rsidR="00F32D3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 </w:t>
      </w:r>
      <w:r w:rsidR="005A79C6" w:rsidRPr="004C3B83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fldChar w:fldCharType="begin"/>
      </w:r>
      <w:r w:rsidR="005A79C6" w:rsidRPr="004C3B83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instrText xml:space="preserve"> SEQ CHAPTER \h \r 1</w:instrText>
      </w:r>
      <w:r w:rsidR="005A79C6" w:rsidRPr="004C3B83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fldChar w:fldCharType="end"/>
      </w:r>
      <w:r w:rsid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Moreover, that blast come</w:t>
      </w:r>
      <w:r w:rsidR="00AE153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</w:t>
      </w:r>
      <w:r w:rsid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not on </w:t>
      </w:r>
      <w:r w:rsidR="004C3B8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just any day but</w:t>
      </w:r>
      <w:r w:rsidR="00D37D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(25:9)</w:t>
      </w:r>
      <w:r w:rsidR="004C3B8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“in the seventh month on the tenth day of the month—the Day of Atonement.</w:t>
      </w:r>
      <w:r w:rsidR="00D37D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”  </w:t>
      </w:r>
      <w:r w:rsidR="00FA580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</w:t>
      </w:r>
      <w:r w:rsidR="00180DE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hy the repetition--f</w:t>
      </w:r>
      <w:r w:rsidR="0061025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irst the date and then the </w:t>
      </w:r>
      <w:r w:rsidR="00FA580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name</w:t>
      </w:r>
      <w:r w:rsidR="0061025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?  </w:t>
      </w:r>
      <w:r w:rsidR="00FA580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</w:t>
      </w:r>
      <w:r w:rsidR="00AE153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any</w:t>
      </w:r>
      <w:r w:rsidR="00FA580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commentators agree that it </w:t>
      </w:r>
      <w:r w:rsidR="0061025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tell</w:t>
      </w:r>
      <w:r w:rsidR="00FA580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</w:t>
      </w:r>
      <w:r w:rsidR="0061025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us to blow the shofar even if it is Shabbat. </w:t>
      </w:r>
      <w:r w:rsidR="00D37D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No wonder</w:t>
      </w:r>
      <w:r w:rsidR="0061025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we are supposed to treat </w:t>
      </w:r>
      <w:r w:rsidR="00D37D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</w:t>
      </w:r>
      <w:r w:rsidR="0061025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he </w:t>
      </w:r>
      <w:r w:rsidR="00B408C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Jubilee </w:t>
      </w:r>
      <w:r w:rsidR="0061025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year</w:t>
      </w:r>
      <w:r w:rsidR="00D37D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as holy.</w:t>
      </w:r>
      <w:r w:rsid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</w:p>
    <w:p w:rsidR="006B578F" w:rsidRDefault="006B578F" w:rsidP="00FA580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305995" w:rsidRDefault="00305995" w:rsidP="00FA580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FC0538" w:rsidRDefault="00D70368" w:rsidP="004E545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lastRenderedPageBreak/>
        <w:t xml:space="preserve">The late </w:t>
      </w:r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Rabbi </w:t>
      </w:r>
      <w:proofErr w:type="spellStart"/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Plaut</w:t>
      </w:r>
      <w:proofErr w:type="spellEnd"/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of Holy Blossom synagogue in Toronto has a lot to say about both Sabbatical and Jubilee Years in his Chumash.</w:t>
      </w:r>
      <w:r>
        <w:rPr>
          <w:rStyle w:val="FootnoteReference"/>
          <w:rFonts w:asciiTheme="minorBidi" w:eastAsiaTheme="minorHAnsi" w:hAnsiTheme="minorBidi" w:cstheme="minorBidi"/>
          <w:sz w:val="24"/>
          <w:szCs w:val="24"/>
          <w:u w:val="none"/>
          <w:lang w:val="en-CA"/>
        </w:rPr>
        <w:footnoteReference w:id="3"/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D</w:t>
      </w:r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uring Sabbatical Years and therefore al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so</w:t>
      </w:r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in </w:t>
      </w:r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 Jubilee</w:t>
      </w:r>
      <w:r w:rsidR="00AE68E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he writes </w:t>
      </w:r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(940)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:</w:t>
      </w:r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“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. . </w:t>
      </w:r>
      <w:r w:rsidR="009255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landowner and the landless pauper are to be on equal footing.”  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Continuing</w:t>
      </w:r>
      <w:r w:rsidR="00374C9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he writes</w:t>
      </w:r>
      <w:r w:rsidR="003059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</w:rPr>
        <w:t>that they are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(941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</w:rPr>
        <w:t>):</w:t>
      </w:r>
      <w:r w:rsidR="00FC0538">
        <w:rPr>
          <w:rFonts w:asciiTheme="minorBidi" w:eastAsiaTheme="minorHAnsi" w:hAnsiTheme="minorBidi" w:cstheme="minorBidi"/>
          <w:sz w:val="24"/>
          <w:szCs w:val="24"/>
          <w:u w:val="none"/>
        </w:rPr>
        <w:t xml:space="preserve"> “an expression of the Sabbath idea; and, like the weekly Sabbath, it ha</w:t>
      </w:r>
      <w:r w:rsidR="00305995">
        <w:rPr>
          <w:rFonts w:asciiTheme="minorBidi" w:eastAsiaTheme="minorHAnsi" w:hAnsiTheme="minorBidi" w:cstheme="minorBidi"/>
          <w:sz w:val="24"/>
          <w:szCs w:val="24"/>
          <w:u w:val="none"/>
        </w:rPr>
        <w:t>s</w:t>
      </w:r>
      <w:r w:rsidR="00FC0538">
        <w:rPr>
          <w:rFonts w:asciiTheme="minorBidi" w:eastAsiaTheme="minorHAnsi" w:hAnsiTheme="minorBidi" w:cstheme="minorBidi"/>
          <w:sz w:val="24"/>
          <w:szCs w:val="24"/>
          <w:u w:val="none"/>
        </w:rPr>
        <w:t xml:space="preserve"> no parallel in other cultures of the ancient Near East.”</w:t>
      </w:r>
      <w:r w:rsidR="00AE0CB8">
        <w:rPr>
          <w:rFonts w:asciiTheme="minorBidi" w:eastAsiaTheme="minorHAnsi" w:hAnsiTheme="minorBidi" w:cstheme="minorBidi"/>
          <w:sz w:val="24"/>
          <w:szCs w:val="24"/>
          <w:u w:val="none"/>
        </w:rPr>
        <w:t xml:space="preserve">  </w:t>
      </w:r>
      <w:r w:rsidR="00374C9C">
        <w:rPr>
          <w:rFonts w:asciiTheme="minorBidi" w:eastAsiaTheme="minorHAnsi" w:hAnsiTheme="minorBidi" w:cstheme="minorBidi"/>
          <w:sz w:val="24"/>
          <w:szCs w:val="24"/>
          <w:u w:val="none"/>
        </w:rPr>
        <w:t xml:space="preserve">Indeed, 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 </w:t>
      </w:r>
      <w:r w:rsidR="00AE0CB8" w:rsidRP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whole tractate (</w:t>
      </w:r>
      <w:proofErr w:type="spellStart"/>
      <w:r w:rsidR="00AE0CB8" w:rsidRPr="00AE0CB8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Shivi'ith</w:t>
      </w:r>
      <w:proofErr w:type="spellEnd"/>
      <w:r w:rsidR="00AE0CB8" w:rsidRP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) </w:t>
      </w:r>
      <w:r w:rsid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appear</w:t>
      </w:r>
      <w:r w:rsidR="00AE68E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</w:t>
      </w:r>
      <w:r w:rsid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AE0CB8" w:rsidRP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in the Mishnah as well as a </w:t>
      </w:r>
      <w:proofErr w:type="spellStart"/>
      <w:r w:rsidR="00AE0CB8" w:rsidRP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Gemara</w:t>
      </w:r>
      <w:proofErr w:type="spellEnd"/>
      <w:r w:rsidR="00AE0CB8" w:rsidRP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in the </w:t>
      </w:r>
      <w:r w:rsid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Talmud </w:t>
      </w:r>
      <w:proofErr w:type="spellStart"/>
      <w:r w:rsidR="00AE0CB8" w:rsidRP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Yerushalami</w:t>
      </w:r>
      <w:proofErr w:type="spellEnd"/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.</w:t>
      </w:r>
      <w:r w:rsidR="00AE0CB8" w:rsidRPr="00AE0CB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</w:t>
      </w:r>
      <w:r w:rsidR="00007C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</w:t>
      </w:r>
      <w:r w:rsidR="00197DD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mong other things</w:t>
      </w:r>
      <w:r w:rsidR="00007C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 they</w:t>
      </w:r>
      <w:r w:rsidR="00197DD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relax some of the rules on land manage</w:t>
      </w:r>
      <w:r w:rsidR="00374C9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-</w:t>
      </w:r>
      <w:proofErr w:type="spellStart"/>
      <w:r w:rsidR="00197DD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ment</w:t>
      </w:r>
      <w:proofErr w:type="spellEnd"/>
      <w:r w:rsidR="00197DD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.  For example, farm w</w:t>
      </w:r>
      <w:r w:rsidR="00197DD5" w:rsidRPr="00197DD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ork was permitted if required to rebuild terraces after a storm or to provide water for trees</w:t>
      </w:r>
      <w:r w:rsidR="00197DD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during a drought</w:t>
      </w:r>
      <w:r w:rsidR="0030599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 </w:t>
      </w:r>
      <w:r w:rsidR="00197DD5" w:rsidRPr="00197DD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</w:p>
    <w:p w:rsidR="00374C9C" w:rsidRDefault="00374C9C" w:rsidP="00AE68E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D91579" w:rsidRDefault="00007C2E" w:rsidP="00AE68E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Even so, if 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Sabbatical Year was a radical idea, the Jubilee year was </w:t>
      </w:r>
      <w:r w:rsidR="00AE68E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even 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more so.</w:t>
      </w:r>
      <w:r w:rsidR="002503D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BF195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No doubt </w:t>
      </w:r>
      <w:r w:rsidR="00AE68E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many</w:t>
      </w:r>
      <w:r w:rsidR="00BF195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farmers and even the urban population remained skeptical.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</w:t>
      </w:r>
      <w:r w:rsidR="002503D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 text s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eems to anticipate concerns about </w:t>
      </w:r>
      <w:r w:rsidR="00AE68E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even a single f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allow year</w:t>
      </w:r>
      <w:r w:rsidR="00AE68E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D915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(25:20-22):</w:t>
      </w:r>
    </w:p>
    <w:p w:rsidR="00D91579" w:rsidRDefault="00D91579" w:rsidP="00D9157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D91579" w:rsidRPr="005A209B" w:rsidRDefault="005A209B" w:rsidP="005A20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  <w:r>
        <w:rPr>
          <w:rFonts w:asciiTheme="minorBidi" w:eastAsiaTheme="minorHAnsi" w:hAnsiTheme="minorBidi" w:cstheme="minorBidi"/>
          <w:u w:val="none"/>
          <w:lang w:val="en-CA"/>
        </w:rPr>
        <w:t>And should you ask, “What are we to eat in the seventh year, if we may neither sow nor gather in our crops?” I will ordain that My Blessing for you in the sixth year so that it shall yield a crop sufficient for three years.  When you sow in the eighth year, you will be eating old grain of that crop; you will be eating the old until the ninth year, until its crops come in.</w:t>
      </w:r>
    </w:p>
    <w:p w:rsidR="002503D2" w:rsidRDefault="005A209B" w:rsidP="005A20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</w:t>
      </w:r>
    </w:p>
    <w:p w:rsidR="00C2131F" w:rsidRDefault="005A209B" w:rsidP="002F371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Therefore, i</w:t>
      </w:r>
      <w:r w:rsidR="00C2131F" w:rsidRP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 is </w:t>
      </w:r>
      <w:r w:rsid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not surprising to read later </w:t>
      </w:r>
      <w:r w:rsidR="00C2131F" w:rsidRP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in </w:t>
      </w:r>
      <w:proofErr w:type="spellStart"/>
      <w:r w:rsidR="00374C9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Parashat</w:t>
      </w:r>
      <w:proofErr w:type="spellEnd"/>
      <w:r w:rsidR="00374C9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proofErr w:type="spellStart"/>
      <w:r w:rsidR="00C2131F" w:rsidRPr="00374C9C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B'hukotai</w:t>
      </w:r>
      <w:proofErr w:type="spellEnd"/>
      <w:r w:rsidR="00C2131F" w:rsidRP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5A5785" w:rsidRP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(</w:t>
      </w:r>
      <w:r w:rsidR="00C2131F" w:rsidRP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26:3</w:t>
      </w:r>
      <w:r w:rsidR="007545C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3</w:t>
      </w:r>
      <w:r w:rsidR="00C2131F" w:rsidRP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-3</w:t>
      </w:r>
      <w:r w:rsidR="0007292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4</w:t>
      </w:r>
      <w:r w:rsidR="00C2131F" w:rsidRP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) that failure to observe these </w:t>
      </w:r>
      <w:r w:rsidR="002F37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sabbatical </w:t>
      </w:r>
      <w:r w:rsidR="00C2131F" w:rsidRPr="005A57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rules brings divine retribution:</w:t>
      </w:r>
    </w:p>
    <w:p w:rsidR="005A5785" w:rsidRPr="005A5785" w:rsidRDefault="005A5785" w:rsidP="005A578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C2131F" w:rsidRPr="005A5785" w:rsidRDefault="005A5785" w:rsidP="006343B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8" w:right="288"/>
        <w:rPr>
          <w:rFonts w:asciiTheme="minorBidi" w:eastAsiaTheme="minorHAnsi" w:hAnsiTheme="minorBidi" w:cstheme="minorBidi"/>
          <w:u w:val="none"/>
          <w:lang w:val="en-CA"/>
        </w:rPr>
      </w:pPr>
      <w:r>
        <w:rPr>
          <w:rFonts w:asciiTheme="minorBidi" w:eastAsiaTheme="minorHAnsi" w:hAnsiTheme="minorBidi" w:cstheme="minorBidi"/>
          <w:u w:val="none"/>
          <w:lang w:val="en-CA"/>
        </w:rPr>
        <w:t>Y</w:t>
      </w:r>
      <w:r w:rsidR="00C2131F" w:rsidRPr="005A5785">
        <w:rPr>
          <w:rFonts w:asciiTheme="minorBidi" w:eastAsiaTheme="minorHAnsi" w:hAnsiTheme="minorBidi" w:cstheme="minorBidi"/>
          <w:u w:val="none"/>
          <w:lang w:val="en-CA"/>
        </w:rPr>
        <w:t>our land shall be a desolation,</w:t>
      </w:r>
      <w:r>
        <w:rPr>
          <w:rFonts w:asciiTheme="minorBidi" w:eastAsiaTheme="minorHAnsi" w:hAnsiTheme="minorBidi" w:cstheme="minorBidi"/>
          <w:u w:val="none"/>
          <w:lang w:val="en-CA"/>
        </w:rPr>
        <w:t xml:space="preserve"> and your cities a ruin. </w:t>
      </w:r>
      <w:r w:rsidR="00C2131F" w:rsidRPr="005A5785">
        <w:rPr>
          <w:rFonts w:asciiTheme="minorBidi" w:eastAsiaTheme="minorHAnsi" w:hAnsiTheme="minorBidi" w:cstheme="minorBidi"/>
          <w:u w:val="none"/>
          <w:lang w:val="en-CA"/>
        </w:rPr>
        <w:t xml:space="preserve">Then shall the land </w:t>
      </w:r>
      <w:r w:rsidR="007545CE">
        <w:rPr>
          <w:rFonts w:asciiTheme="minorBidi" w:eastAsiaTheme="minorHAnsi" w:hAnsiTheme="minorBidi" w:cstheme="minorBidi"/>
          <w:u w:val="none"/>
          <w:lang w:val="en-CA"/>
        </w:rPr>
        <w:t>make up for its Sabbath year</w:t>
      </w:r>
      <w:r w:rsidR="00610252">
        <w:rPr>
          <w:rFonts w:asciiTheme="minorBidi" w:eastAsiaTheme="minorHAnsi" w:hAnsiTheme="minorBidi" w:cstheme="minorBidi"/>
          <w:u w:val="none"/>
          <w:lang w:val="en-CA"/>
        </w:rPr>
        <w:t>s</w:t>
      </w:r>
      <w:r w:rsidR="007545CE">
        <w:rPr>
          <w:rFonts w:asciiTheme="minorBidi" w:eastAsiaTheme="minorHAnsi" w:hAnsiTheme="minorBidi" w:cstheme="minorBidi"/>
          <w:u w:val="none"/>
          <w:lang w:val="en-CA"/>
        </w:rPr>
        <w:t xml:space="preserve"> throughout the time that it is desolate and you are in the land of your enemies; </w:t>
      </w:r>
      <w:r w:rsidR="00C2131F" w:rsidRPr="005A5785">
        <w:rPr>
          <w:rFonts w:asciiTheme="minorBidi" w:eastAsiaTheme="minorHAnsi" w:hAnsiTheme="minorBidi" w:cstheme="minorBidi"/>
          <w:u w:val="none"/>
          <w:lang w:val="en-CA"/>
        </w:rPr>
        <w:t xml:space="preserve">then shall the land rest and </w:t>
      </w:r>
      <w:r w:rsidR="007545CE">
        <w:rPr>
          <w:rFonts w:asciiTheme="minorBidi" w:eastAsiaTheme="minorHAnsi" w:hAnsiTheme="minorBidi" w:cstheme="minorBidi"/>
          <w:u w:val="none"/>
          <w:lang w:val="en-CA"/>
        </w:rPr>
        <w:t>make up for its Sabbath years;</w:t>
      </w:r>
    </w:p>
    <w:p w:rsidR="00C2131F" w:rsidRDefault="00C2131F" w:rsidP="00C2131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="Courier 10 Pitch" w:eastAsiaTheme="minorHAnsi" w:hAnsi="Courier 10 Pitch" w:cstheme="minorBidi"/>
          <w:u w:val="none"/>
          <w:lang w:val="en-CA"/>
        </w:rPr>
      </w:pPr>
    </w:p>
    <w:p w:rsidR="00204266" w:rsidRDefault="00023A0C" w:rsidP="0023247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Let’s turn to the second major requirement in the Jubilee Year.  All land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ed property t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hat had been sold was returned to its original owners, as defined by the distribution among </w:t>
      </w:r>
      <w:r w:rsidR="002B687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tribes by Joshua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.</w:t>
      </w:r>
      <w:r w:rsidR="0064747E">
        <w:rPr>
          <w:rStyle w:val="FootnoteReference"/>
          <w:rFonts w:asciiTheme="minorBidi" w:eastAsiaTheme="minorHAnsi" w:hAnsiTheme="minorBidi" w:cstheme="minorBidi"/>
          <w:sz w:val="24"/>
          <w:szCs w:val="24"/>
          <w:u w:val="none"/>
          <w:lang w:val="en-CA"/>
        </w:rPr>
        <w:footnoteReference w:id="4"/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Here again, Rabbi </w:t>
      </w:r>
      <w:proofErr w:type="spellStart"/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Plaut</w:t>
      </w:r>
      <w:proofErr w:type="spellEnd"/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offers a comment on the thinking behind this provision (942):  The land “is not to be exploited for the enrichment of some </w:t>
      </w:r>
      <w:proofErr w:type="spellStart"/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individ</w:t>
      </w:r>
      <w:r w:rsidR="002B687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-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uals</w:t>
      </w:r>
      <w:proofErr w:type="spellEnd"/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to the </w:t>
      </w:r>
      <w:r w:rsidR="003612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detriment of others.”  </w:t>
      </w:r>
      <w:r w:rsidR="006343B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Apparently, </w:t>
      </w:r>
      <w:r w:rsidR="003612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land </w:t>
      </w:r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is not actually sold but only </w:t>
      </w:r>
      <w:r w:rsidR="003612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rented for </w:t>
      </w:r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number of crops until the next Jubilee year.  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Therefore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it c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ould 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be 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“redeemed” </w:t>
      </w:r>
      <w:r w:rsidR="00EC40F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if 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one of the original owners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pay</w:t>
      </w:r>
      <w:r w:rsidR="00EC40F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a sum proportiona</w:t>
      </w:r>
      <w:r w:rsidR="00EC40F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l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to the number of number of crops until the next Jubilee Year.  </w:t>
      </w:r>
      <w:r w:rsidR="00EC40F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However</w:t>
      </w:r>
      <w:r w:rsidR="003612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some 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land </w:t>
      </w:r>
      <w:r w:rsidR="003612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was exempt from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redemption.  The Jubilee requirement did not apply to l</w:t>
      </w:r>
      <w:r w:rsidR="007D31C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and </w:t>
      </w:r>
      <w:r w:rsidR="003612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outside </w:t>
      </w:r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original tribal inheritance </w:t>
      </w:r>
      <w:proofErr w:type="gramStart"/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nor</w:t>
      </w:r>
      <w:proofErr w:type="gramEnd"/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to land in a city surrounded by a wall.  In</w:t>
      </w:r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herited</w:t>
      </w:r>
      <w:r w:rsidR="00BD052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land, as opposed to purchased land, </w:t>
      </w:r>
      <w:r w:rsidR="000E1AB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did not </w:t>
      </w:r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have to be returned, which explains why special provisions were made</w:t>
      </w:r>
      <w:r w:rsidR="00BD052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for </w:t>
      </w:r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daughters of </w:t>
      </w:r>
      <w:proofErr w:type="spellStart"/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Zelophehad</w:t>
      </w:r>
      <w:proofErr w:type="spellEnd"/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(</w:t>
      </w:r>
      <w:proofErr w:type="spellStart"/>
      <w:r w:rsidR="0064747E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Bm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d</w:t>
      </w:r>
      <w:proofErr w:type="spellEnd"/>
      <w:r w:rsidR="0020426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26:3-4). </w:t>
      </w:r>
      <w:r w:rsidR="0064747E" w:rsidRPr="00232475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Yes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 they could inherit</w:t>
      </w:r>
      <w:r w:rsidR="00511DB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land</w:t>
      </w:r>
      <w:r w:rsidR="0020426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but </w:t>
      </w:r>
      <w:r w:rsidR="00511DB0" w:rsidRPr="00232475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No</w:t>
      </w:r>
      <w:r w:rsidR="00511DB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they </w:t>
      </w:r>
      <w:r w:rsidR="00511DB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could not marry outside </w:t>
      </w:r>
      <w:r w:rsid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tribe.  </w:t>
      </w:r>
      <w:r w:rsidR="00511DB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In addition</w:t>
      </w:r>
      <w:proofErr w:type="gramStart"/>
      <w:r w:rsidR="00511DB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</w:t>
      </w:r>
      <w:r w:rsidR="0023247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s</w:t>
      </w:r>
      <w:r w:rsidR="0020426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pecial</w:t>
      </w:r>
      <w:proofErr w:type="gramEnd"/>
      <w:r w:rsidR="0020426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23247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rules </w:t>
      </w:r>
      <w:r w:rsidR="0020426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protected </w:t>
      </w:r>
      <w:r w:rsidR="0023247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land held by </w:t>
      </w:r>
      <w:r w:rsidR="0020426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 Levites (verses 29-34).”</w:t>
      </w:r>
    </w:p>
    <w:p w:rsidR="00204266" w:rsidRDefault="00204266" w:rsidP="000E1AB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F651CD" w:rsidRDefault="00204266" w:rsidP="007D31C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third requirement in a Jubilee Year is that all Hebrew slaves had to be released. Again, </w:t>
      </w:r>
      <w:proofErr w:type="spellStart"/>
      <w:r w:rsidR="00F651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Plaut</w:t>
      </w:r>
      <w:proofErr w:type="spellEnd"/>
      <w:r w:rsidR="00F651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(942)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goes back to </w:t>
      </w:r>
      <w:r w:rsidR="007D31C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</w:t>
      </w:r>
      <w:r w:rsidR="00BC5E8B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religious rationale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to </w:t>
      </w:r>
      <w:r w:rsidR="00F651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explain this prov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</w:t>
      </w:r>
      <w:r w:rsidR="00F651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ion</w:t>
      </w:r>
      <w:r w:rsidR="00F651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:</w:t>
      </w:r>
    </w:p>
    <w:p w:rsidR="00F651CD" w:rsidRDefault="00F651CD" w:rsidP="00F651C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F651CD" w:rsidRPr="00BC5E8B" w:rsidRDefault="00F651CD" w:rsidP="00E82BE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  <w:r>
        <w:rPr>
          <w:rFonts w:asciiTheme="minorBidi" w:eastAsiaTheme="minorHAnsi" w:hAnsiTheme="minorBidi" w:cstheme="minorBidi"/>
          <w:u w:val="none"/>
          <w:lang w:val="en-CA"/>
        </w:rPr>
        <w:t xml:space="preserve">The legislation regarding slaves is motivated by the same kind of thinking as the land law: the Israelites are God’s servants and therefore should not be enslaved to any other master. . . .The </w:t>
      </w:r>
      <w:r>
        <w:rPr>
          <w:rFonts w:asciiTheme="minorBidi" w:eastAsiaTheme="minorHAnsi" w:hAnsiTheme="minorBidi" w:cstheme="minorBidi"/>
          <w:u w:val="none"/>
          <w:lang w:val="en-CA"/>
        </w:rPr>
        <w:lastRenderedPageBreak/>
        <w:t>release of Hebrew slaves is part of the process, since they were most probably sold i</w:t>
      </w:r>
      <w:r w:rsidR="003612B3">
        <w:rPr>
          <w:rFonts w:asciiTheme="minorBidi" w:eastAsiaTheme="minorHAnsi" w:hAnsiTheme="minorBidi" w:cstheme="minorBidi"/>
          <w:u w:val="none"/>
          <w:lang w:val="en-CA"/>
        </w:rPr>
        <w:t>n</w:t>
      </w:r>
      <w:r>
        <w:rPr>
          <w:rFonts w:asciiTheme="minorBidi" w:eastAsiaTheme="minorHAnsi" w:hAnsiTheme="minorBidi" w:cstheme="minorBidi"/>
          <w:u w:val="none"/>
          <w:lang w:val="en-CA"/>
        </w:rPr>
        <w:t>to servi</w:t>
      </w:r>
      <w:r w:rsidR="00E82BE5">
        <w:rPr>
          <w:rFonts w:asciiTheme="minorBidi" w:eastAsiaTheme="minorHAnsi" w:hAnsiTheme="minorBidi" w:cstheme="minorBidi"/>
          <w:u w:val="none"/>
          <w:lang w:val="en-CA"/>
        </w:rPr>
        <w:t>t</w:t>
      </w:r>
      <w:r>
        <w:rPr>
          <w:rFonts w:asciiTheme="minorBidi" w:eastAsiaTheme="minorHAnsi" w:hAnsiTheme="minorBidi" w:cstheme="minorBidi"/>
          <w:u w:val="none"/>
          <w:lang w:val="en-CA"/>
        </w:rPr>
        <w:t>ude for t</w:t>
      </w:r>
      <w:r w:rsidR="008B1CF4">
        <w:rPr>
          <w:rFonts w:asciiTheme="minorBidi" w:eastAsiaTheme="minorHAnsi" w:hAnsiTheme="minorBidi" w:cstheme="minorBidi"/>
          <w:u w:val="none"/>
          <w:lang w:val="en-CA"/>
        </w:rPr>
        <w:t>he satisfaction of a deb</w:t>
      </w:r>
      <w:r w:rsidR="00BC5E8B">
        <w:rPr>
          <w:rFonts w:asciiTheme="minorBidi" w:eastAsiaTheme="minorHAnsi" w:hAnsiTheme="minorBidi" w:cstheme="minorBidi"/>
          <w:u w:val="none"/>
          <w:lang w:val="en-CA"/>
        </w:rPr>
        <w:t>t.</w:t>
      </w:r>
    </w:p>
    <w:p w:rsidR="00F651CD" w:rsidRDefault="00F651CD" w:rsidP="00F651C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</w:p>
    <w:p w:rsidR="00204266" w:rsidRDefault="00BC5E8B" w:rsidP="0032727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right="283"/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Support for this r</w:t>
      </w:r>
      <w:r w:rsidR="0056157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ationale stems from the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statements 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in the text </w:t>
      </w:r>
      <w:r w:rsidR="0056157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that 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</w:t>
      </w:r>
      <w:r w:rsidR="00354B8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ell Israelites to get their 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slaves from neighboring peoples.  </w:t>
      </w:r>
      <w:r w:rsidR="0056157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One Israelite could engag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 another who is “in straits and must give himself over to you</w:t>
      </w:r>
      <w:r w:rsidR="003272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 w:rsidR="007372E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” but you must “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not subject him to the treatment of a slave</w:t>
      </w:r>
      <w:r w:rsidR="007372E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”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(25:39).  </w:t>
      </w:r>
      <w:r w:rsidR="005A7E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ther places in the nearby text state further that</w:t>
      </w:r>
      <w:r w:rsidR="003272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“</w:t>
      </w:r>
      <w:r w:rsidR="0032727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. . </w:t>
      </w:r>
      <w:r w:rsidR="005B411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as for your Israelite brothers, no one shall rule ruthlessly over him” (2:46).</w:t>
      </w:r>
    </w:p>
    <w:p w:rsidR="00204266" w:rsidRDefault="00204266" w:rsidP="000E1AB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64747E" w:rsidRDefault="007372EA" w:rsidP="00C510F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Though human slavery was widespread in the ancient world, the Hebrew Bible seems conflicted about it, and</w:t>
      </w:r>
      <w:r w:rsidR="00C510F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it seems to come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does come down </w:t>
      </w:r>
      <w:r w:rsidR="00C510F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with the conclusion that an Israelite may serve you not so much as a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slave</w:t>
      </w:r>
      <w:r w:rsidR="00C510F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</w:t>
      </w:r>
      <w:r w:rsidR="003612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but only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as </w:t>
      </w:r>
      <w:r w:rsidR="0068368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what we might </w:t>
      </w:r>
      <w:r w:rsidR="005A7E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today </w:t>
      </w:r>
      <w:r w:rsidR="0068368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call an indentured servant</w:t>
      </w:r>
      <w:r w:rsidR="00354B8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 Further, </w:t>
      </w:r>
      <w:r w:rsidR="005A7E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as </w:t>
      </w:r>
      <w:r w:rsidR="00354B8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already indicated </w:t>
      </w:r>
      <w:r w:rsidR="0068368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(25¨40-41):</w:t>
      </w:r>
    </w:p>
    <w:p w:rsidR="00683686" w:rsidRPr="0064747E" w:rsidRDefault="00683686" w:rsidP="0068368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654E3E" w:rsidRDefault="00957189" w:rsidP="00484F8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</w:pP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He shall serve with you only until the jubilee year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 xml:space="preserve">. 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 xml:space="preserve"> Then he and his children with him shall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 xml:space="preserve"> 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be f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r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 xml:space="preserve">ee of 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y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ou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r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 xml:space="preserve"> authorit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y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; he shall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 xml:space="preserve"> 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 xml:space="preserve">go back 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t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o his family and return to his ancest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r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a</w:t>
      </w:r>
      <w:r w:rsidR="00484F86"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>l</w:t>
      </w:r>
      <w:r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  <w:t xml:space="preserve"> holding. </w:t>
      </w:r>
    </w:p>
    <w:p w:rsidR="00484F86" w:rsidRDefault="00484F86" w:rsidP="0095718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sz w:val="18"/>
          <w:szCs w:val="18"/>
          <w:u w:val="none"/>
          <w:lang w:val="en-CA"/>
        </w:rPr>
      </w:pPr>
    </w:p>
    <w:p w:rsidR="00484F86" w:rsidRDefault="00484F86" w:rsidP="005A7EC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Admittedly 50 years is a long time, but his family does have the right to buy him out of </w:t>
      </w:r>
      <w:r w:rsidR="005A7E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indenture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at any time during his sentence, which </w:t>
      </w:r>
      <w:r w:rsidR="00354B8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is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</w:t>
      </w:r>
      <w:r w:rsidR="00127B0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ot </w:t>
      </w:r>
      <w:r w:rsidR="00354B8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true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for non-Israelite slaves.</w:t>
      </w:r>
    </w:p>
    <w:p w:rsidR="00484F86" w:rsidRDefault="00484F86" w:rsidP="00484F8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E64F86" w:rsidRDefault="006C30B4" w:rsidP="0036554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Before concluding this </w:t>
      </w:r>
      <w:proofErr w:type="spellStart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d’var</w:t>
      </w:r>
      <w:proofErr w:type="spellEnd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on the Jubilee Year, I want to ask </w:t>
      </w:r>
      <w:r w:rsidR="0036554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one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other question: </w:t>
      </w:r>
      <w:r w:rsidR="0036554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Was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the Jubilee Year every really observed? </w:t>
      </w:r>
      <w:r w:rsidR="00365543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In the written version of this </w:t>
      </w:r>
      <w:proofErr w:type="spellStart"/>
      <w:r w:rsidR="00365543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d’var</w:t>
      </w:r>
      <w:proofErr w:type="spellEnd"/>
      <w:r w:rsidR="00365543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, I also ask a second question:  </w:t>
      </w:r>
      <w:r w:rsidR="00365543" w:rsidRPr="00E64F86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W</w:t>
      </w:r>
      <w:r w:rsidRPr="00E64F86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hat were its ecological implications</w:t>
      </w:r>
      <w:r w:rsidR="00E64F86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? </w:t>
      </w:r>
      <w:r w:rsidR="00E64F8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E64F86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Bu t we don’t have time for that today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 </w:t>
      </w:r>
    </w:p>
    <w:p w:rsidR="00E64F86" w:rsidRDefault="00E64F86" w:rsidP="0036554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6C30B4" w:rsidRDefault="006C30B4" w:rsidP="001C3FF2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As </w:t>
      </w:r>
      <w:r w:rsidR="005A7E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for the first</w:t>
      </w:r>
      <w:r w:rsidR="00E64F8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question</w:t>
      </w:r>
      <w:r w:rsidR="005A7EC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 we can say that i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 only applied in Israel itself, and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even then</w:t>
      </w:r>
      <w:r w:rsidR="00AC3F1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according to Talmudic sources cited by </w:t>
      </w:r>
      <w:proofErr w:type="spellStart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Plaut</w:t>
      </w:r>
      <w:proofErr w:type="spellEnd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(942)</w:t>
      </w:r>
      <w:r w:rsidR="00AC3F1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only when all tribes were living on the lands allotted to them by Joshua, something that was never the case given th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at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Reuben and Gad 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chose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to stay east of the Jordan River. 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1C3FF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Perhaps that explains why there is no </w:t>
      </w:r>
      <w:proofErr w:type="spellStart"/>
      <w:r w:rsidR="001C3FF2" w:rsidRPr="001C3FF2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Gemara</w:t>
      </w:r>
      <w:proofErr w:type="spellEnd"/>
      <w:r w:rsidR="001C3FF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in the Babylonian Talmud.  </w:t>
      </w:r>
      <w:r w:rsidR="00CB743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</w:t>
      </w:r>
      <w:r w:rsidR="00CB743D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Book of </w:t>
      </w:r>
      <w:r w:rsidR="00CB743D" w:rsidRPr="009F0D2E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Jubilees</w:t>
      </w:r>
      <w:r w:rsidR="00CB743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which </w:t>
      </w:r>
      <w:r w:rsidR="00AC3F1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 have not read, </w:t>
      </w:r>
      <w:r w:rsidR="00CB743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is described as a retelling of </w:t>
      </w:r>
      <w:r w:rsidR="00CB743D" w:rsidRPr="00AC3F18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Genesis </w:t>
      </w:r>
      <w:r w:rsidR="00CB743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written during the last two centuries BCE</w:t>
      </w:r>
      <w:r w:rsidR="00AC3F1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.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Apparently, it </w:t>
      </w:r>
      <w:r w:rsidR="00AC3F1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does </w:t>
      </w:r>
      <w:r w:rsidR="00CB743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refer to both Sabbatical and Jubilee years, but with little information about them.  N</w:t>
      </w:r>
      <w:r w:rsidR="00D51D4E" w:rsidRPr="00CB743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</w:t>
      </w:r>
      <w:r w:rsidR="00D51D4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reference to the Jubilee Year has ever been found </w:t>
      </w:r>
      <w:r w:rsidR="00CB743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from</w:t>
      </w:r>
      <w:r w:rsidR="00D51D4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the Second Temple period.  </w:t>
      </w:r>
      <w:r w:rsidR="00AC3F1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ore to the point, 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Rabbi </w:t>
      </w:r>
      <w:proofErr w:type="spellStart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Plaut</w:t>
      </w:r>
      <w:proofErr w:type="spellEnd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dismisses the whole idea</w:t>
      </w:r>
      <w:r w:rsidR="00D5427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in a pair of 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definitive </w:t>
      </w:r>
      <w:r w:rsidR="00D5427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comments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(respectively </w:t>
      </w:r>
      <w:r w:rsidR="00D5427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942 and 943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) in</w:t>
      </w:r>
      <w:r w:rsidR="00D5427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his </w:t>
      </w:r>
      <w:proofErr w:type="spellStart"/>
      <w:proofErr w:type="gramStart"/>
      <w:r w:rsidR="00D5427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chumash</w:t>
      </w:r>
      <w:proofErr w:type="spellEnd"/>
      <w:proofErr w:type="gramEnd"/>
      <w:r w:rsidR="00D5427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:</w:t>
      </w:r>
    </w:p>
    <w:p w:rsidR="00D54274" w:rsidRDefault="00D54274" w:rsidP="00D5427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bookmarkStart w:id="0" w:name="_GoBack"/>
      <w:bookmarkEnd w:id="0"/>
    </w:p>
    <w:p w:rsidR="00D54274" w:rsidRDefault="00D54274" w:rsidP="00D5427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  <w:r>
        <w:rPr>
          <w:rFonts w:asciiTheme="minorBidi" w:eastAsiaTheme="minorHAnsi" w:hAnsiTheme="minorBidi" w:cstheme="minorBidi"/>
          <w:u w:val="none"/>
          <w:lang w:val="en-CA"/>
        </w:rPr>
        <w:t>Indeed, the basic assumption behind the law—namely, that at some time in the past every Israelite family had its own holding, all approximately equal—is, to put it mildly, open to question.</w:t>
      </w:r>
    </w:p>
    <w:p w:rsidR="00D54274" w:rsidRDefault="00D54274" w:rsidP="00D5427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</w:p>
    <w:p w:rsidR="00D54274" w:rsidRDefault="00D54274" w:rsidP="009F0D2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  <w:r>
        <w:rPr>
          <w:rFonts w:asciiTheme="minorBidi" w:eastAsiaTheme="minorHAnsi" w:hAnsiTheme="minorBidi" w:cstheme="minorBidi"/>
          <w:u w:val="none"/>
          <w:lang w:val="en-CA"/>
        </w:rPr>
        <w:t xml:space="preserve">Our credulity is further strained by the notion that, even once in a half-century, agricultural work should have been suspended for two consecutive years.  The </w:t>
      </w:r>
      <w:r w:rsidR="009F0D2E">
        <w:rPr>
          <w:rFonts w:asciiTheme="minorBidi" w:eastAsiaTheme="minorHAnsi" w:hAnsiTheme="minorBidi" w:cstheme="minorBidi"/>
          <w:u w:val="none"/>
          <w:lang w:val="en-CA"/>
        </w:rPr>
        <w:t>“</w:t>
      </w:r>
      <w:r>
        <w:rPr>
          <w:rFonts w:asciiTheme="minorBidi" w:eastAsiaTheme="minorHAnsi" w:hAnsiTheme="minorBidi" w:cstheme="minorBidi"/>
          <w:u w:val="none"/>
          <w:lang w:val="en-CA"/>
        </w:rPr>
        <w:t>Sabbath of the land” entailed serious hardships</w:t>
      </w:r>
      <w:r w:rsidR="009F0D2E">
        <w:rPr>
          <w:rFonts w:asciiTheme="minorBidi" w:eastAsiaTheme="minorHAnsi" w:hAnsiTheme="minorBidi" w:cstheme="minorBidi"/>
          <w:u w:val="none"/>
          <w:lang w:val="en-CA"/>
        </w:rPr>
        <w:t>;</w:t>
      </w:r>
      <w:r>
        <w:rPr>
          <w:rFonts w:asciiTheme="minorBidi" w:eastAsiaTheme="minorHAnsi" w:hAnsiTheme="minorBidi" w:cstheme="minorBidi"/>
          <w:u w:val="none"/>
          <w:lang w:val="en-CA"/>
        </w:rPr>
        <w:t xml:space="preserve"> two years without cultivation would have meant ruin and famine.</w:t>
      </w:r>
    </w:p>
    <w:p w:rsidR="00D51D4E" w:rsidRDefault="00D51D4E" w:rsidP="00D5427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</w:p>
    <w:p w:rsidR="00D51D4E" w:rsidRDefault="00810B41" w:rsidP="00E64F8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</w:t>
      </w:r>
      <w:r w:rsidR="009F23F2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f I were ever called upon to comment on the Jubilee Year, I would suggest that it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was little more than a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idealistic </w:t>
      </w:r>
      <w:r w:rsidR="00CB743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concept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based on unrealistic notions of equity and</w:t>
      </w:r>
      <w:r w:rsidR="004F590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inappropriate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extensions of the </w:t>
      </w:r>
      <w:r w:rsidR="004F590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concept of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Sabbath</w:t>
      </w:r>
      <w:r w:rsidR="004F590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.</w:t>
      </w:r>
    </w:p>
    <w:p w:rsidR="00AC3F18" w:rsidRDefault="00AC3F18" w:rsidP="00CB74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AC3F18" w:rsidRPr="00AC3F18" w:rsidRDefault="00AC3F18" w:rsidP="005153E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FOR ORAL PRESENTATION, </w:t>
      </w:r>
      <w:r w:rsidR="00A10623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SKIP TO </w:t>
      </w:r>
      <w:r w:rsidR="005153E9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PAR</w:t>
      </w:r>
      <w:r w:rsidR="001C3FF2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AGRAPH BEGINNNG “TO </w:t>
      </w:r>
      <w:proofErr w:type="gramStart"/>
      <w:r w:rsidR="001C3FF2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CONCLUDE,  </w:t>
      </w:r>
      <w:r w:rsidR="005153E9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. . .</w:t>
      </w:r>
      <w:proofErr w:type="gramEnd"/>
      <w:r w:rsidR="005153E9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 “</w:t>
      </w:r>
      <w:r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  FOR WRITTEN PRESENTATION, CONTINUE </w:t>
      </w:r>
      <w:r w:rsidR="00B600DF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WITH THE TEXT </w:t>
      </w:r>
      <w:r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BELOW.</w:t>
      </w:r>
    </w:p>
    <w:p w:rsidR="00D54274" w:rsidRDefault="00D54274" w:rsidP="00484F8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392B87" w:rsidRDefault="00654E3E" w:rsidP="00047F5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Starting 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at least as far back as Maimonides,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it 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ha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s 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been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argued that the Sabbatical year was intended to save the soil from exhaustion.  In the days before crop rotation and artificial fertilizers, the practice of fallow may have made sense</w:t>
      </w:r>
      <w:r w:rsidR="009F0D2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at least if properly planted with </w:t>
      </w:r>
      <w:r w:rsid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</w:t>
      </w:r>
      <w:r w:rsid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itrogen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-fixing ground cover</w:t>
      </w:r>
      <w:r w:rsid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 </w:t>
      </w:r>
      <w:r w:rsidR="009F0D2E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(</w:t>
      </w:r>
      <w:r w:rsidR="008E4565" w:rsidRPr="0023605A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I</w:t>
      </w:r>
      <w:r w:rsidR="0023605A" w:rsidRPr="0023605A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 cannot emphasize too strongly that it</w:t>
      </w:r>
      <w:r w:rsidR="008E4565" w:rsidRPr="0023605A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 </w:t>
      </w:r>
      <w:r w:rsidR="004A0332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w</w:t>
      </w:r>
      <w:r w:rsidR="008E4565" w:rsidRPr="0023605A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as </w:t>
      </w:r>
      <w:r w:rsidR="006C4EA8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never recommended </w:t>
      </w:r>
      <w:r w:rsidR="008E4565" w:rsidRPr="0023605A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to leave</w:t>
      </w:r>
      <w:r w:rsidR="0023605A" w:rsidRPr="0023605A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 land without a cover </w:t>
      </w:r>
      <w:r w:rsidR="0023605A" w:rsidRPr="009F0D2E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crop</w:t>
      </w:r>
      <w:r w:rsidR="009F0D2E" w:rsidRPr="009F0D2E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, and especially not in semi-arid climates.</w:t>
      </w:r>
      <w:r w:rsidR="009F0D2E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)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 would 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also emphasize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that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just as we must be ca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utious of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basing kashrut on provisions for </w:t>
      </w:r>
      <w:r w:rsidR="00047F5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human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health, so too should 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we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be cautious about basing provisions for the 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Jubilee Year or the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Sabbatical 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Y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ear on 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provisions for </w:t>
      </w:r>
      <w:r w:rsidR="00047F5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natural 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ecology.  Ultimately, the goal was to re</w:t>
      </w:r>
      <w:r w:rsidR="00047F5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-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assert God's claim to ownership of the land and to instill humility in </w:t>
      </w:r>
      <w:r w:rsidR="006C4EA8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</w:t>
      </w:r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human tendency to see ourselve</w:t>
      </w:r>
      <w:r w:rsidR="00392B87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 as creators.</w:t>
      </w:r>
    </w:p>
    <w:p w:rsidR="00392B87" w:rsidRDefault="00392B87" w:rsidP="00392B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E74869" w:rsidRPr="00127B09" w:rsidRDefault="00654E3E" w:rsidP="00392B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="Courier 10 Pitch" w:eastAsiaTheme="minorHAnsi" w:hAnsi="Courier 10 Pitch" w:cstheme="minorBidi"/>
          <w:u w:val="none"/>
          <w:lang w:val="en-CA"/>
        </w:rPr>
      </w:pPr>
      <w:proofErr w:type="spellStart"/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Ehrenfeld</w:t>
      </w:r>
      <w:proofErr w:type="spellEnd"/>
      <w:r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and Bentley</w:t>
      </w:r>
      <w:r w:rsidR="00127B0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E7486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support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this perspective</w:t>
      </w:r>
      <w:r w:rsidR="00E7486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 but I must caution that they are here talking about the Sabbatical Year, not the Jubilee Year</w:t>
      </w:r>
      <w:r w:rsidR="0023605A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:</w:t>
      </w:r>
      <w:r w:rsidR="0023605A">
        <w:rPr>
          <w:rStyle w:val="FootnoteReference"/>
          <w:rFonts w:asciiTheme="minorBidi" w:eastAsiaTheme="minorHAnsi" w:hAnsiTheme="minorBidi" w:cstheme="minorBidi"/>
          <w:sz w:val="24"/>
          <w:szCs w:val="24"/>
          <w:u w:val="none"/>
          <w:lang w:val="en-CA"/>
        </w:rPr>
        <w:footnoteReference w:id="5"/>
      </w:r>
    </w:p>
    <w:p w:rsidR="00E74869" w:rsidRDefault="00E74869" w:rsidP="0023605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654E3E" w:rsidRDefault="00654E3E" w:rsidP="001448A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  <w:r w:rsidRPr="00E74869">
        <w:rPr>
          <w:rFonts w:asciiTheme="minorBidi" w:eastAsiaTheme="minorHAnsi" w:hAnsiTheme="minorBidi" w:cstheme="minorBidi"/>
          <w:u w:val="none"/>
          <w:lang w:val="en-CA"/>
        </w:rPr>
        <w:t xml:space="preserve">For Jews, it is the Sabbath and the idea of the Sabbath that introduce the necessary restraint into stewardship. </w:t>
      </w:r>
      <w:r w:rsidR="001448AD">
        <w:rPr>
          <w:rFonts w:asciiTheme="minorBidi" w:eastAsiaTheme="minorHAnsi" w:hAnsiTheme="minorBidi" w:cstheme="minorBidi"/>
          <w:u w:val="none"/>
          <w:lang w:val="en-CA"/>
        </w:rPr>
        <w:t xml:space="preserve">. . . </w:t>
      </w:r>
      <w:r w:rsidRPr="00E74869">
        <w:rPr>
          <w:rFonts w:asciiTheme="minorBidi" w:eastAsiaTheme="minorHAnsi" w:hAnsiTheme="minorBidi" w:cstheme="minorBidi"/>
          <w:u w:val="none"/>
          <w:lang w:val="en-CA"/>
        </w:rPr>
        <w:t>During the Sabbath day, and during the Sabbath year, "we create nothing; we destroy nothing; and we enjoy the bounty of the earth . . . a celebration of our tenancy</w:t>
      </w:r>
      <w:r w:rsidR="00E74869">
        <w:rPr>
          <w:rFonts w:asciiTheme="minorBidi" w:eastAsiaTheme="minorHAnsi" w:hAnsiTheme="minorBidi" w:cstheme="minorBidi"/>
          <w:u w:val="none"/>
          <w:lang w:val="en-CA"/>
        </w:rPr>
        <w:t xml:space="preserve"> and stewardship in the world.</w:t>
      </w:r>
    </w:p>
    <w:p w:rsidR="00E74869" w:rsidRPr="00E74869" w:rsidRDefault="00E74869" w:rsidP="00E7486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ind w:left="283" w:right="283"/>
        <w:rPr>
          <w:rFonts w:asciiTheme="minorBidi" w:eastAsiaTheme="minorHAnsi" w:hAnsiTheme="minorBidi" w:cstheme="minorBidi"/>
          <w:u w:val="none"/>
          <w:lang w:val="en-CA"/>
        </w:rPr>
      </w:pPr>
    </w:p>
    <w:p w:rsidR="00654E3E" w:rsidRDefault="00E74869" w:rsidP="0023563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 cite </w:t>
      </w:r>
      <w:proofErr w:type="spellStart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Ehrenfeld</w:t>
      </w:r>
      <w:proofErr w:type="spellEnd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and Bentley because they are among the earliest of the modern commentators 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to write about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Judaism and ecology.  I would love to hear what they might say about the Jubilee Year, which, as emphasized above, add</w:t>
      </w:r>
      <w:r w:rsidR="007E778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ed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much greater burdens on </w:t>
      </w:r>
      <w:r w:rsidR="001448A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Israelite 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farmers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  <w:r w:rsidR="001448AD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and indeed everyone who ate food in the land of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Israel.</w:t>
      </w:r>
    </w:p>
    <w:p w:rsidR="00E74869" w:rsidRPr="008E4565" w:rsidRDefault="00E74869" w:rsidP="00654E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654E3E" w:rsidRPr="008E4565" w:rsidRDefault="007E778F" w:rsidP="004E40B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To conclude, </w:t>
      </w:r>
      <w:r w:rsidR="00127B09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 has been many centuries since any of the agricultural requirements of the Jubilee Year have been observed, though some provisions of the Sabbatical Years are observed by 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more </w:t>
      </w:r>
      <w:r w:rsidR="00654E3E"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rthodox farmers and kibbutzim.  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Even allowing for that exception, 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 doubt that 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any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Israelis 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regret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the </w:t>
      </w:r>
      <w:r w:rsidR="00810B4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absence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of the Jubilee Year’s 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agricultural requirements </w:t>
      </w:r>
      <w:r w:rsidR="00810B41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in today’s 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Jewish calendar in Israel. 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However, as indicated above, </w:t>
      </w:r>
      <w:r w:rsidR="00235636"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the Sabbatical and Jubilee years also carried ethical and social messages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as well as agricultural ones.</w:t>
      </w:r>
      <w:r w:rsidR="00235636"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Under the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ir guidance</w:t>
      </w:r>
      <w:r w:rsidR="00235636" w:rsidRPr="008E456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, no one could become too</w:t>
      </w:r>
      <w:r w:rsidR="0023563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rich nor could anyone fall into poverty.  S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ome people, and I count myself among them, do regret that most 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of 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its </w:t>
      </w:r>
      <w:r w:rsidR="004E40BB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ethical and 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social requireme</w:t>
      </w:r>
      <w:r w:rsidR="004E51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n</w:t>
      </w:r>
      <w:r w:rsidR="00B26D4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ts </w:t>
      </w:r>
      <w:r w:rsidR="004E51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are al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so </w:t>
      </w:r>
      <w:r w:rsidR="004E51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ignored </w:t>
      </w:r>
      <w:r w:rsidR="004E40BB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today, </w:t>
      </w:r>
      <w:r w:rsidR="004E51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with the </w:t>
      </w:r>
      <w:r w:rsidR="004E40BB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sad </w:t>
      </w:r>
      <w:r w:rsidR="004E51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result that, just as in Canada, inequality grows </w:t>
      </w:r>
      <w:r w:rsidR="00AF507F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in Israel </w:t>
      </w:r>
      <w:r w:rsidR="004E5185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with every passing year.</w:t>
      </w:r>
    </w:p>
    <w:p w:rsidR="00654E3E" w:rsidRDefault="00654E3E" w:rsidP="00654E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22086A" w:rsidRDefault="00AF507F" w:rsidP="00654E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Shabbat shalom,</w:t>
      </w:r>
    </w:p>
    <w:p w:rsidR="0022086A" w:rsidRDefault="0022086A">
      <w:pPr>
        <w:autoSpaceDE/>
        <w:autoSpaceDN/>
        <w:adjustRightInd/>
        <w:spacing w:after="200" w:line="276" w:lineRule="auto"/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br w:type="page"/>
      </w:r>
    </w:p>
    <w:p w:rsidR="00AF507F" w:rsidRDefault="0022086A" w:rsidP="00654E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lang w:val="en-CA"/>
        </w:rPr>
        <w:lastRenderedPageBreak/>
        <w:t>Further Reading</w:t>
      </w:r>
    </w:p>
    <w:p w:rsidR="009111AC" w:rsidRDefault="009111AC" w:rsidP="00654E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</w:p>
    <w:p w:rsidR="009111AC" w:rsidRPr="009111AC" w:rsidRDefault="009111AC" w:rsidP="00654E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Mishnah </w:t>
      </w:r>
      <w:proofErr w:type="spellStart"/>
      <w:r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Shevi’ith</w:t>
      </w:r>
      <w:proofErr w:type="spellEnd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is the fifth tractate in order </w:t>
      </w:r>
      <w:proofErr w:type="spellStart"/>
      <w:r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Zeraim</w:t>
      </w:r>
      <w:proofErr w:type="spellEnd"/>
      <w:r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.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It contains 10 chapters, many of which focus on agriculture in the land of Israel.  In particular, it tries to find a balance between the Biblical rules for the Sabbatical year and the exigencies of farming in a semi-arid climate.  For example, farmers were allowed to repair terraces that had been destroyed in a storm.  There is a </w:t>
      </w:r>
      <w:proofErr w:type="spellStart"/>
      <w:proofErr w:type="gramStart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gemara</w:t>
      </w:r>
      <w:proofErr w:type="spellEnd"/>
      <w:proofErr w:type="gramEnd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in the Jerusalem Talmud but none in the Babylonian.</w:t>
      </w:r>
      <w:r w:rsidR="006201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Berkman (</w:t>
      </w:r>
      <w:proofErr w:type="spellStart"/>
      <w:proofErr w:type="gramStart"/>
      <w:r w:rsidR="006201B3" w:rsidRPr="006201B3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op.cit</w:t>
      </w:r>
      <w:proofErr w:type="spellEnd"/>
      <w:r w:rsidR="006201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.,</w:t>
      </w:r>
      <w:proofErr w:type="gramEnd"/>
      <w:r w:rsidR="006201B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p. 236) notes that “Even greater precautionary measures were </w:t>
      </w:r>
      <w:r w:rsidR="00D00CC3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introduced by the Rabbis, but these were not generally accepted.”</w:t>
      </w:r>
    </w:p>
    <w:p w:rsidR="0022086A" w:rsidRDefault="0022086A" w:rsidP="00654E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lang w:val="en-CA"/>
        </w:rPr>
      </w:pPr>
    </w:p>
    <w:p w:rsidR="0022086A" w:rsidRDefault="0022086A" w:rsidP="007F6E9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</w:pPr>
      <w:r w:rsidRPr="00E67626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Details</w:t>
      </w:r>
      <w:r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of the Jubilee year are discussed in the last three </w:t>
      </w:r>
      <w:r w:rsidR="001737F0"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of</w:t>
      </w:r>
      <w:r w:rsidR="001737F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the nine </w:t>
      </w:r>
      <w:r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chapters </w:t>
      </w:r>
      <w:r w:rsidR="001737F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of </w:t>
      </w:r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Mishnah</w:t>
      </w:r>
      <w:r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ractate </w:t>
      </w:r>
      <w:proofErr w:type="spellStart"/>
      <w:r w:rsidR="00D75664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Arac</w:t>
      </w:r>
      <w:r w:rsidRPr="009111AC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hin</w:t>
      </w:r>
      <w:proofErr w:type="spellEnd"/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of the </w:t>
      </w:r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Order </w:t>
      </w:r>
      <w:proofErr w:type="spellStart"/>
      <w:r w:rsidR="00D75664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>Kodashim</w:t>
      </w:r>
      <w:proofErr w:type="spellEnd"/>
      <w:r w:rsidR="00D75664">
        <w:rPr>
          <w:rFonts w:asciiTheme="minorBidi" w:eastAsiaTheme="minorHAnsi" w:hAnsiTheme="minorBidi" w:cstheme="minorBidi"/>
          <w:i/>
          <w:iCs/>
          <w:sz w:val="24"/>
          <w:szCs w:val="24"/>
          <w:u w:val="none"/>
          <w:lang w:val="en-CA"/>
        </w:rPr>
        <w:t xml:space="preserve">. </w:t>
      </w:r>
      <w:r w:rsidR="001737F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However, t</w:t>
      </w:r>
      <w:r w:rsidR="007F6E9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he focus is mainly </w:t>
      </w:r>
      <w:proofErr w:type="gramStart"/>
      <w:r w:rsidR="007F6E9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on </w:t>
      </w:r>
      <w:r w:rsidR="001737F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issues</w:t>
      </w:r>
      <w:proofErr w:type="gramEnd"/>
      <w:r w:rsidR="001737F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relat</w:t>
      </w:r>
      <w:r w:rsidR="007F6E9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ed</w:t>
      </w:r>
      <w:r w:rsidR="001737F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to buying and selling of land between Jubilee years, or the obligations owed to Hebrew slaves upon their departure, rather </w:t>
      </w:r>
      <w:r w:rsidR="007F6E9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than </w:t>
      </w:r>
      <w:r w:rsidR="001737F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agricultural practices in the Jubilee Year.  </w:t>
      </w:r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In this case, </w:t>
      </w:r>
      <w:r w:rsidRPr="0064747E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there is a </w:t>
      </w:r>
      <w:proofErr w:type="spellStart"/>
      <w:proofErr w:type="gramStart"/>
      <w:r w:rsidR="009111AC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g</w:t>
      </w:r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emara</w:t>
      </w:r>
      <w:proofErr w:type="spellEnd"/>
      <w:proofErr w:type="gramEnd"/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in the </w:t>
      </w:r>
      <w:proofErr w:type="spellStart"/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Babli</w:t>
      </w:r>
      <w:proofErr w:type="spellEnd"/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, but none in the </w:t>
      </w:r>
      <w:proofErr w:type="spellStart"/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Yerushalmi</w:t>
      </w:r>
      <w:proofErr w:type="spellEnd"/>
      <w:r w:rsidR="00D75664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. 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 I guess that the rabbis compiling the Babylonian Talmud were more comfortable dealing with the legalities of land ownership than with the provision of food</w:t>
      </w:r>
      <w:r w:rsidR="001737F0"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>.</w:t>
      </w:r>
      <w:r>
        <w:rPr>
          <w:rFonts w:asciiTheme="minorBidi" w:eastAsiaTheme="minorHAnsi" w:hAnsiTheme="minorBidi" w:cstheme="minorBidi"/>
          <w:sz w:val="24"/>
          <w:szCs w:val="24"/>
          <w:u w:val="none"/>
          <w:lang w:val="en-CA"/>
        </w:rPr>
        <w:t xml:space="preserve"> </w:t>
      </w:r>
    </w:p>
    <w:p w:rsidR="0022086A" w:rsidRPr="0022086A" w:rsidRDefault="0022086A" w:rsidP="00654E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sz w:val="24"/>
          <w:szCs w:val="24"/>
          <w:lang w:val="en-CA"/>
        </w:rPr>
      </w:pPr>
    </w:p>
    <w:sectPr w:rsidR="0022086A" w:rsidRPr="0022086A" w:rsidSect="00A57087">
      <w:footerReference w:type="default" r:id="rId8"/>
      <w:pgSz w:w="12240" w:h="15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65" w:rsidRDefault="00A16565" w:rsidP="00C2131F">
      <w:r>
        <w:separator/>
      </w:r>
    </w:p>
  </w:endnote>
  <w:endnote w:type="continuationSeparator" w:id="0">
    <w:p w:rsidR="00A16565" w:rsidRDefault="00A16565" w:rsidP="00C2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026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087" w:rsidRDefault="00A570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FF2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A57087" w:rsidRDefault="00A57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65" w:rsidRDefault="00A16565" w:rsidP="00C2131F">
      <w:r>
        <w:separator/>
      </w:r>
    </w:p>
  </w:footnote>
  <w:footnote w:type="continuationSeparator" w:id="0">
    <w:p w:rsidR="00A16565" w:rsidRDefault="00A16565" w:rsidP="00C2131F">
      <w:r>
        <w:continuationSeparator/>
      </w:r>
    </w:p>
  </w:footnote>
  <w:footnote w:id="1">
    <w:p w:rsidR="003D0462" w:rsidRPr="005E3297" w:rsidRDefault="003D0462" w:rsidP="005E3297">
      <w:pPr>
        <w:pStyle w:val="FootnoteText"/>
        <w:rPr>
          <w:rFonts w:ascii="Arial" w:hAnsi="Arial" w:cs="Arial"/>
          <w:u w:val="none"/>
        </w:rPr>
      </w:pPr>
      <w:r w:rsidRPr="003D0462">
        <w:rPr>
          <w:rStyle w:val="FootnoteReference"/>
          <w:rFonts w:ascii="Arial" w:hAnsi="Arial" w:cs="Arial"/>
          <w:u w:val="none"/>
        </w:rPr>
        <w:footnoteRef/>
      </w:r>
      <w:r w:rsidRPr="003D0462">
        <w:rPr>
          <w:rFonts w:ascii="Arial" w:hAnsi="Arial" w:cs="Arial"/>
          <w:u w:val="none"/>
        </w:rPr>
        <w:t xml:space="preserve"> Josephus, </w:t>
      </w:r>
      <w:r>
        <w:rPr>
          <w:rFonts w:ascii="Arial" w:hAnsi="Arial" w:cs="Arial"/>
          <w:i/>
          <w:iCs/>
          <w:u w:val="none"/>
        </w:rPr>
        <w:t>Antiquities</w:t>
      </w:r>
      <w:r>
        <w:rPr>
          <w:rFonts w:ascii="Arial" w:hAnsi="Arial" w:cs="Arial"/>
          <w:u w:val="none"/>
        </w:rPr>
        <w:t xml:space="preserve">, as cited by </w:t>
      </w:r>
      <w:proofErr w:type="spellStart"/>
      <w:r>
        <w:rPr>
          <w:rFonts w:ascii="Arial" w:hAnsi="Arial" w:cs="Arial"/>
          <w:u w:val="none"/>
        </w:rPr>
        <w:t>Plaut</w:t>
      </w:r>
      <w:proofErr w:type="spellEnd"/>
      <w:r>
        <w:rPr>
          <w:rFonts w:ascii="Arial" w:hAnsi="Arial" w:cs="Arial"/>
          <w:u w:val="none"/>
        </w:rPr>
        <w:t xml:space="preserve"> 941 and in note 6 on 741.</w:t>
      </w:r>
      <w:r w:rsidR="009111AC">
        <w:rPr>
          <w:rFonts w:ascii="Arial" w:hAnsi="Arial" w:cs="Arial"/>
          <w:u w:val="none"/>
        </w:rPr>
        <w:t xml:space="preserve">  See also</w:t>
      </w:r>
      <w:r w:rsidR="005E3297">
        <w:rPr>
          <w:rFonts w:ascii="Arial" w:hAnsi="Arial" w:cs="Arial"/>
          <w:u w:val="none"/>
        </w:rPr>
        <w:t xml:space="preserve"> </w:t>
      </w:r>
      <w:proofErr w:type="spellStart"/>
      <w:r w:rsidR="005E3297">
        <w:rPr>
          <w:rFonts w:ascii="Arial" w:hAnsi="Arial" w:cs="Arial"/>
          <w:i/>
          <w:iCs/>
          <w:u w:val="none"/>
        </w:rPr>
        <w:t>Mishnayot</w:t>
      </w:r>
      <w:proofErr w:type="spellEnd"/>
      <w:r w:rsidR="005E3297">
        <w:rPr>
          <w:rFonts w:ascii="Arial" w:hAnsi="Arial" w:cs="Arial"/>
          <w:i/>
          <w:iCs/>
          <w:u w:val="none"/>
        </w:rPr>
        <w:t xml:space="preserve"> – Order </w:t>
      </w:r>
      <w:proofErr w:type="spellStart"/>
      <w:r w:rsidR="005E3297">
        <w:rPr>
          <w:rFonts w:ascii="Arial" w:hAnsi="Arial" w:cs="Arial"/>
          <w:i/>
          <w:iCs/>
          <w:u w:val="none"/>
        </w:rPr>
        <w:t>Zeraim</w:t>
      </w:r>
      <w:proofErr w:type="spellEnd"/>
      <w:r w:rsidR="005E3297">
        <w:rPr>
          <w:rFonts w:ascii="Arial" w:hAnsi="Arial" w:cs="Arial"/>
          <w:u w:val="none"/>
        </w:rPr>
        <w:t xml:space="preserve"> by Philip Blackman, Judaica Press (1983), p. 235, which states that both Alexander the Great and Julius Caesar “remitted to the Jews the tribute due every Sabbatical Year” beca</w:t>
      </w:r>
      <w:r w:rsidR="00174DF9">
        <w:rPr>
          <w:rFonts w:ascii="Arial" w:hAnsi="Arial" w:cs="Arial"/>
          <w:u w:val="none"/>
        </w:rPr>
        <w:t>use fields were not cultivated.</w:t>
      </w:r>
    </w:p>
  </w:footnote>
  <w:footnote w:id="2">
    <w:p w:rsidR="006B578F" w:rsidRPr="006B578F" w:rsidRDefault="006B578F">
      <w:pPr>
        <w:pStyle w:val="FootnoteText"/>
        <w:rPr>
          <w:rFonts w:ascii="Arial" w:hAnsi="Arial" w:cs="Arial"/>
          <w:i/>
          <w:iCs/>
          <w:u w:val="none"/>
        </w:rPr>
      </w:pPr>
      <w:r w:rsidRPr="006B578F">
        <w:rPr>
          <w:rStyle w:val="FootnoteReference"/>
          <w:u w:val="none"/>
        </w:rPr>
        <w:footnoteRef/>
      </w:r>
      <w:r w:rsidRPr="006B578F">
        <w:rPr>
          <w:u w:val="none"/>
        </w:rPr>
        <w:t xml:space="preserve"> </w:t>
      </w:r>
      <w:r>
        <w:rPr>
          <w:rFonts w:ascii="Arial" w:hAnsi="Arial" w:cs="Arial"/>
          <w:u w:val="none"/>
        </w:rPr>
        <w:t>Al</w:t>
      </w:r>
      <w:r w:rsidR="005E3297">
        <w:rPr>
          <w:rFonts w:ascii="Arial" w:hAnsi="Arial" w:cs="Arial"/>
          <w:u w:val="none"/>
        </w:rPr>
        <w:t>l</w:t>
      </w:r>
      <w:r>
        <w:rPr>
          <w:rFonts w:ascii="Arial" w:hAnsi="Arial" w:cs="Arial"/>
          <w:u w:val="none"/>
        </w:rPr>
        <w:t xml:space="preserve"> translations are taken from </w:t>
      </w:r>
      <w:proofErr w:type="spellStart"/>
      <w:proofErr w:type="gramStart"/>
      <w:r>
        <w:rPr>
          <w:rFonts w:ascii="Arial" w:hAnsi="Arial" w:cs="Arial"/>
          <w:u w:val="none"/>
        </w:rPr>
        <w:t>chumash</w:t>
      </w:r>
      <w:proofErr w:type="spellEnd"/>
      <w:proofErr w:type="gramEnd"/>
      <w:r>
        <w:rPr>
          <w:rFonts w:ascii="Arial" w:hAnsi="Arial" w:cs="Arial"/>
          <w:u w:val="none"/>
        </w:rPr>
        <w:t xml:space="preserve"> </w:t>
      </w:r>
      <w:proofErr w:type="spellStart"/>
      <w:r>
        <w:rPr>
          <w:rFonts w:ascii="Arial" w:hAnsi="Arial" w:cs="Arial"/>
          <w:i/>
          <w:iCs/>
          <w:u w:val="none"/>
        </w:rPr>
        <w:t>Etz</w:t>
      </w:r>
      <w:proofErr w:type="spellEnd"/>
      <w:r>
        <w:rPr>
          <w:rFonts w:ascii="Arial" w:hAnsi="Arial" w:cs="Arial"/>
          <w:i/>
          <w:iCs/>
          <w:u w:val="none"/>
        </w:rPr>
        <w:t xml:space="preserve"> Haim.</w:t>
      </w:r>
      <w:r>
        <w:rPr>
          <w:rFonts w:ascii="Arial" w:hAnsi="Arial" w:cs="Arial"/>
          <w:u w:val="none"/>
        </w:rPr>
        <w:t xml:space="preserve"> </w:t>
      </w:r>
    </w:p>
  </w:footnote>
  <w:footnote w:id="3">
    <w:p w:rsidR="00D70368" w:rsidRPr="00D70368" w:rsidRDefault="00D70368" w:rsidP="00D70368">
      <w:pPr>
        <w:pStyle w:val="FootnoteText"/>
        <w:rPr>
          <w:rFonts w:ascii="Arial" w:hAnsi="Arial" w:cs="Arial"/>
          <w:u w:val="none"/>
        </w:rPr>
      </w:pPr>
      <w:r w:rsidRPr="00D70368">
        <w:rPr>
          <w:rStyle w:val="FootnoteReference"/>
          <w:rFonts w:ascii="Arial" w:hAnsi="Arial" w:cs="Arial"/>
          <w:u w:val="none"/>
        </w:rPr>
        <w:footnoteRef/>
      </w:r>
      <w:r w:rsidRPr="00D70368">
        <w:rPr>
          <w:rFonts w:ascii="Arial" w:hAnsi="Arial" w:cs="Arial"/>
          <w:u w:val="none"/>
        </w:rPr>
        <w:t xml:space="preserve"> </w:t>
      </w:r>
      <w:r w:rsidRPr="00D70368">
        <w:rPr>
          <w:rFonts w:ascii="Arial" w:hAnsi="Arial" w:cs="Arial"/>
          <w:i/>
          <w:iCs/>
          <w:u w:val="none"/>
        </w:rPr>
        <w:t>The Torah: A Modern Commentary</w:t>
      </w:r>
      <w:r w:rsidRPr="00D70368">
        <w:rPr>
          <w:rFonts w:ascii="Arial" w:hAnsi="Arial" w:cs="Arial"/>
          <w:u w:val="none"/>
        </w:rPr>
        <w:t>, New York</w:t>
      </w:r>
      <w:r>
        <w:rPr>
          <w:rFonts w:ascii="Arial" w:hAnsi="Arial" w:cs="Arial"/>
          <w:u w:val="none"/>
        </w:rPr>
        <w:t>:</w:t>
      </w:r>
      <w:r w:rsidRPr="00D70368">
        <w:rPr>
          <w:rFonts w:ascii="Arial" w:hAnsi="Arial" w:cs="Arial"/>
          <w:u w:val="none"/>
        </w:rPr>
        <w:t xml:space="preserve"> Union of American Hebrew Congregations, 1981 edition.</w:t>
      </w:r>
    </w:p>
  </w:footnote>
  <w:footnote w:id="4">
    <w:p w:rsidR="0064747E" w:rsidRPr="0064747E" w:rsidRDefault="0064747E">
      <w:pPr>
        <w:pStyle w:val="FootnoteText"/>
        <w:rPr>
          <w:rFonts w:ascii="Arial" w:hAnsi="Arial" w:cs="Arial"/>
          <w:u w:val="none"/>
        </w:rPr>
      </w:pPr>
      <w:r w:rsidRPr="0064747E">
        <w:rPr>
          <w:rStyle w:val="FootnoteReference"/>
          <w:rFonts w:ascii="Arial" w:hAnsi="Arial" w:cs="Arial"/>
          <w:u w:val="none"/>
        </w:rPr>
        <w:footnoteRef/>
      </w:r>
      <w:r w:rsidRPr="0064747E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 xml:space="preserve">See </w:t>
      </w:r>
      <w:r>
        <w:rPr>
          <w:rFonts w:ascii="Arial" w:hAnsi="Arial" w:cs="Arial"/>
          <w:i/>
          <w:iCs/>
          <w:u w:val="none"/>
        </w:rPr>
        <w:t>Book of Joshua</w:t>
      </w:r>
      <w:r>
        <w:rPr>
          <w:rFonts w:ascii="Arial" w:hAnsi="Arial" w:cs="Arial"/>
          <w:u w:val="none"/>
        </w:rPr>
        <w:t>, chapters 13 - 21</w:t>
      </w:r>
    </w:p>
  </w:footnote>
  <w:footnote w:id="5">
    <w:p w:rsidR="0023605A" w:rsidRPr="0056157A" w:rsidRDefault="0023605A" w:rsidP="005615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rPr>
          <w:rFonts w:asciiTheme="minorBidi" w:eastAsiaTheme="minorHAnsi" w:hAnsiTheme="minorBidi" w:cstheme="minorBidi"/>
          <w:u w:val="none"/>
          <w:lang w:val="en-GB"/>
        </w:rPr>
      </w:pPr>
      <w:r w:rsidRPr="0023605A">
        <w:rPr>
          <w:rStyle w:val="FootnoteReference"/>
          <w:rFonts w:asciiTheme="minorBidi" w:hAnsiTheme="minorBidi" w:cstheme="minorBidi"/>
          <w:u w:val="none"/>
        </w:rPr>
        <w:footnoteRef/>
      </w:r>
      <w:r w:rsidRPr="0023605A">
        <w:rPr>
          <w:rFonts w:asciiTheme="minorBidi" w:hAnsiTheme="minorBidi" w:cstheme="minorBidi"/>
          <w:u w:val="none"/>
        </w:rPr>
        <w:t xml:space="preserve"> </w:t>
      </w:r>
      <w:proofErr w:type="spellStart"/>
      <w:proofErr w:type="gramStart"/>
      <w:r w:rsidRPr="0023605A">
        <w:rPr>
          <w:rFonts w:asciiTheme="minorBidi" w:eastAsiaTheme="minorHAnsi" w:hAnsiTheme="minorBidi" w:cstheme="minorBidi"/>
          <w:u w:val="none"/>
          <w:lang w:val="en-GB"/>
        </w:rPr>
        <w:t>Ehrenfeld</w:t>
      </w:r>
      <w:proofErr w:type="spellEnd"/>
      <w:r w:rsidRPr="0023605A">
        <w:rPr>
          <w:rFonts w:asciiTheme="minorBidi" w:eastAsiaTheme="minorHAnsi" w:hAnsiTheme="minorBidi" w:cstheme="minorBidi"/>
          <w:u w:val="none"/>
          <w:lang w:val="en-GB"/>
        </w:rPr>
        <w:t xml:space="preserve"> and Bentley, Judaism and the Practice of Stewardship, Judaism, 34:3 (Summer 1985).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A5"/>
    <w:rsid w:val="000040B3"/>
    <w:rsid w:val="00007C2E"/>
    <w:rsid w:val="00023A0C"/>
    <w:rsid w:val="0003638F"/>
    <w:rsid w:val="000376DB"/>
    <w:rsid w:val="00046356"/>
    <w:rsid w:val="00047F57"/>
    <w:rsid w:val="00072928"/>
    <w:rsid w:val="00093399"/>
    <w:rsid w:val="00096EF0"/>
    <w:rsid w:val="000B6977"/>
    <w:rsid w:val="000E1AB4"/>
    <w:rsid w:val="00100528"/>
    <w:rsid w:val="00120FCC"/>
    <w:rsid w:val="00127B09"/>
    <w:rsid w:val="001348B4"/>
    <w:rsid w:val="001448AD"/>
    <w:rsid w:val="00163EA7"/>
    <w:rsid w:val="001737F0"/>
    <w:rsid w:val="00174DF9"/>
    <w:rsid w:val="00180DE5"/>
    <w:rsid w:val="00197DD5"/>
    <w:rsid w:val="001B3031"/>
    <w:rsid w:val="001C3FF2"/>
    <w:rsid w:val="001D7374"/>
    <w:rsid w:val="001E58AE"/>
    <w:rsid w:val="00204266"/>
    <w:rsid w:val="00215B27"/>
    <w:rsid w:val="0022086A"/>
    <w:rsid w:val="002242DC"/>
    <w:rsid w:val="00232475"/>
    <w:rsid w:val="00235636"/>
    <w:rsid w:val="0023605A"/>
    <w:rsid w:val="002503D2"/>
    <w:rsid w:val="00250AF0"/>
    <w:rsid w:val="002B6871"/>
    <w:rsid w:val="002C748B"/>
    <w:rsid w:val="002E06BC"/>
    <w:rsid w:val="002E38E1"/>
    <w:rsid w:val="002F371F"/>
    <w:rsid w:val="00305995"/>
    <w:rsid w:val="00327279"/>
    <w:rsid w:val="00354B83"/>
    <w:rsid w:val="003612B3"/>
    <w:rsid w:val="00365543"/>
    <w:rsid w:val="00374C9C"/>
    <w:rsid w:val="00375FF4"/>
    <w:rsid w:val="00392B87"/>
    <w:rsid w:val="003D0462"/>
    <w:rsid w:val="003D1679"/>
    <w:rsid w:val="00431AAA"/>
    <w:rsid w:val="004423A9"/>
    <w:rsid w:val="00480FEF"/>
    <w:rsid w:val="00484F86"/>
    <w:rsid w:val="004A0332"/>
    <w:rsid w:val="004C3B83"/>
    <w:rsid w:val="004E40BB"/>
    <w:rsid w:val="004E5185"/>
    <w:rsid w:val="004E545A"/>
    <w:rsid w:val="004F5907"/>
    <w:rsid w:val="00505AB5"/>
    <w:rsid w:val="00511DB0"/>
    <w:rsid w:val="005153E9"/>
    <w:rsid w:val="00522178"/>
    <w:rsid w:val="00522B44"/>
    <w:rsid w:val="00525E9E"/>
    <w:rsid w:val="0056157A"/>
    <w:rsid w:val="005A209B"/>
    <w:rsid w:val="005A5785"/>
    <w:rsid w:val="005A79C6"/>
    <w:rsid w:val="005A7ECD"/>
    <w:rsid w:val="005B411F"/>
    <w:rsid w:val="005E3297"/>
    <w:rsid w:val="00610252"/>
    <w:rsid w:val="006201B3"/>
    <w:rsid w:val="006259A5"/>
    <w:rsid w:val="006343B5"/>
    <w:rsid w:val="0064747E"/>
    <w:rsid w:val="00654E3E"/>
    <w:rsid w:val="00657560"/>
    <w:rsid w:val="00674A9B"/>
    <w:rsid w:val="00683686"/>
    <w:rsid w:val="006976C6"/>
    <w:rsid w:val="006A0371"/>
    <w:rsid w:val="006B578F"/>
    <w:rsid w:val="006C30B4"/>
    <w:rsid w:val="006C4EA8"/>
    <w:rsid w:val="006E6E48"/>
    <w:rsid w:val="007372EA"/>
    <w:rsid w:val="00753951"/>
    <w:rsid w:val="007545CE"/>
    <w:rsid w:val="00754CF4"/>
    <w:rsid w:val="0075759E"/>
    <w:rsid w:val="00766E2A"/>
    <w:rsid w:val="00774CF1"/>
    <w:rsid w:val="007D31CF"/>
    <w:rsid w:val="007E778F"/>
    <w:rsid w:val="007F6E94"/>
    <w:rsid w:val="00810B41"/>
    <w:rsid w:val="008249EF"/>
    <w:rsid w:val="008376DD"/>
    <w:rsid w:val="008722B8"/>
    <w:rsid w:val="0089330B"/>
    <w:rsid w:val="008B1CF4"/>
    <w:rsid w:val="008E4565"/>
    <w:rsid w:val="009111AC"/>
    <w:rsid w:val="00925595"/>
    <w:rsid w:val="009319F7"/>
    <w:rsid w:val="00957189"/>
    <w:rsid w:val="009E574D"/>
    <w:rsid w:val="009F0D2E"/>
    <w:rsid w:val="009F23F2"/>
    <w:rsid w:val="00A10623"/>
    <w:rsid w:val="00A16565"/>
    <w:rsid w:val="00A57087"/>
    <w:rsid w:val="00AC3F18"/>
    <w:rsid w:val="00AD18D2"/>
    <w:rsid w:val="00AD67B9"/>
    <w:rsid w:val="00AE0CB8"/>
    <w:rsid w:val="00AE1531"/>
    <w:rsid w:val="00AE68EE"/>
    <w:rsid w:val="00AF178E"/>
    <w:rsid w:val="00AF39BD"/>
    <w:rsid w:val="00AF43D1"/>
    <w:rsid w:val="00AF507F"/>
    <w:rsid w:val="00B26D4C"/>
    <w:rsid w:val="00B408C8"/>
    <w:rsid w:val="00B600DF"/>
    <w:rsid w:val="00B67777"/>
    <w:rsid w:val="00BA28EC"/>
    <w:rsid w:val="00BA33FB"/>
    <w:rsid w:val="00BC154B"/>
    <w:rsid w:val="00BC54C8"/>
    <w:rsid w:val="00BC5E8B"/>
    <w:rsid w:val="00BD0521"/>
    <w:rsid w:val="00BD11AA"/>
    <w:rsid w:val="00BF1951"/>
    <w:rsid w:val="00C146E8"/>
    <w:rsid w:val="00C2131F"/>
    <w:rsid w:val="00C510F1"/>
    <w:rsid w:val="00C73D5F"/>
    <w:rsid w:val="00CB081D"/>
    <w:rsid w:val="00CB4F39"/>
    <w:rsid w:val="00CB743D"/>
    <w:rsid w:val="00CE2800"/>
    <w:rsid w:val="00CF770A"/>
    <w:rsid w:val="00D00CC3"/>
    <w:rsid w:val="00D37D7E"/>
    <w:rsid w:val="00D41095"/>
    <w:rsid w:val="00D51D4E"/>
    <w:rsid w:val="00D53167"/>
    <w:rsid w:val="00D54274"/>
    <w:rsid w:val="00D70368"/>
    <w:rsid w:val="00D75664"/>
    <w:rsid w:val="00D91579"/>
    <w:rsid w:val="00E26301"/>
    <w:rsid w:val="00E64F86"/>
    <w:rsid w:val="00E67626"/>
    <w:rsid w:val="00E7378D"/>
    <w:rsid w:val="00E74869"/>
    <w:rsid w:val="00E82BE5"/>
    <w:rsid w:val="00E96EDE"/>
    <w:rsid w:val="00EA2722"/>
    <w:rsid w:val="00EA6085"/>
    <w:rsid w:val="00EC40F7"/>
    <w:rsid w:val="00F32D3F"/>
    <w:rsid w:val="00F651CD"/>
    <w:rsid w:val="00F97DC2"/>
    <w:rsid w:val="00FA5809"/>
    <w:rsid w:val="00FC0538"/>
    <w:rsid w:val="00FD5EB8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D046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462"/>
    <w:rPr>
      <w:rFonts w:ascii="Times New Roman" w:eastAsia="Calibri" w:hAnsi="Times New Roman" w:cs="Times New Roman"/>
      <w:sz w:val="20"/>
      <w:szCs w:val="20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D04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087"/>
    <w:rPr>
      <w:rFonts w:ascii="Times New Roman" w:eastAsia="Calibri" w:hAnsi="Times New Roman" w:cs="Times New Roman"/>
      <w:sz w:val="20"/>
      <w:szCs w:val="20"/>
      <w:u w:val="sing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087"/>
    <w:rPr>
      <w:rFonts w:ascii="Times New Roman" w:eastAsia="Calibri" w:hAnsi="Times New Roman" w:cs="Times New Roman"/>
      <w:sz w:val="20"/>
      <w:szCs w:val="20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D046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462"/>
    <w:rPr>
      <w:rFonts w:ascii="Times New Roman" w:eastAsia="Calibri" w:hAnsi="Times New Roman" w:cs="Times New Roman"/>
      <w:sz w:val="20"/>
      <w:szCs w:val="20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D04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087"/>
    <w:rPr>
      <w:rFonts w:ascii="Times New Roman" w:eastAsia="Calibri" w:hAnsi="Times New Roman" w:cs="Times New Roman"/>
      <w:sz w:val="20"/>
      <w:szCs w:val="20"/>
      <w:u w:val="sing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087"/>
    <w:rPr>
      <w:rFonts w:ascii="Times New Roman" w:eastAsia="Calibri" w:hAnsi="Times New Roman" w:cs="Times New Roman"/>
      <w:sz w:val="20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1921-C8B3-41D9-9B8B-99EDD0C0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43</cp:revision>
  <dcterms:created xsi:type="dcterms:W3CDTF">2020-03-22T22:26:00Z</dcterms:created>
  <dcterms:modified xsi:type="dcterms:W3CDTF">2020-04-26T11:24:00Z</dcterms:modified>
</cp:coreProperties>
</file>